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autoSpaceDE/>
        <w:autoSpaceDN/>
        <w:bidi w:val="0"/>
        <w:adjustRightInd/>
        <w:snapToGrid/>
        <w:spacing w:before="0" w:line="580" w:lineRule="exact"/>
        <w:ind w:left="266"/>
        <w:jc w:val="center"/>
        <w:rPr>
          <w:rFonts w:hint="eastAsia" w:ascii="方正小标宋简体" w:hAnsi="宋体" w:eastAsia="方正小标宋简体" w:cs="宋体"/>
          <w:bCs/>
          <w:spacing w:val="0"/>
          <w:sz w:val="44"/>
          <w:szCs w:val="44"/>
          <w:lang w:eastAsia="zh-CN"/>
        </w:rPr>
      </w:pPr>
    </w:p>
    <w:p>
      <w:pPr>
        <w:keepNext w:val="0"/>
        <w:keepLines w:val="0"/>
        <w:pageBreakBefore w:val="0"/>
        <w:widowControl w:val="0"/>
        <w:kinsoku/>
        <w:topLinePunct/>
        <w:autoSpaceDE/>
        <w:autoSpaceDN/>
        <w:bidi w:val="0"/>
        <w:adjustRightInd/>
        <w:snapToGrid/>
        <w:spacing w:before="0" w:line="580" w:lineRule="exact"/>
        <w:ind w:left="266"/>
        <w:jc w:val="center"/>
        <w:rPr>
          <w:rFonts w:hint="eastAsia" w:ascii="方正小标宋简体" w:hAnsi="宋体" w:eastAsia="方正小标宋简体" w:cs="宋体"/>
          <w:bCs/>
          <w:spacing w:val="0"/>
          <w:sz w:val="44"/>
          <w:szCs w:val="44"/>
          <w:lang w:eastAsia="zh-CN"/>
        </w:rPr>
      </w:pPr>
    </w:p>
    <w:p>
      <w:pPr>
        <w:keepNext w:val="0"/>
        <w:keepLines w:val="0"/>
        <w:pageBreakBefore w:val="0"/>
        <w:widowControl w:val="0"/>
        <w:kinsoku/>
        <w:topLinePunct/>
        <w:autoSpaceDE/>
        <w:autoSpaceDN/>
        <w:bidi w:val="0"/>
        <w:adjustRightInd/>
        <w:snapToGrid/>
        <w:spacing w:before="0" w:line="580" w:lineRule="exact"/>
        <w:ind w:left="266"/>
        <w:jc w:val="center"/>
        <w:rPr>
          <w:rFonts w:ascii="方正小标宋简体" w:hAnsi="宋体" w:eastAsia="方正小标宋简体" w:cs="宋体"/>
          <w:bCs/>
          <w:spacing w:val="0"/>
          <w:sz w:val="44"/>
          <w:szCs w:val="44"/>
          <w:lang w:eastAsia="zh-CN"/>
        </w:rPr>
      </w:pPr>
      <w:r>
        <w:rPr>
          <w:rFonts w:hint="eastAsia" w:ascii="方正小标宋简体" w:hAnsi="宋体" w:eastAsia="方正小标宋简体" w:cs="宋体"/>
          <w:bCs/>
          <w:spacing w:val="0"/>
          <w:sz w:val="44"/>
          <w:szCs w:val="44"/>
          <w:lang w:eastAsia="zh-CN"/>
        </w:rPr>
        <w:t>内蒙古自治区人民政府</w:t>
      </w:r>
    </w:p>
    <w:p>
      <w:pPr>
        <w:keepNext w:val="0"/>
        <w:keepLines w:val="0"/>
        <w:pageBreakBefore w:val="0"/>
        <w:widowControl w:val="0"/>
        <w:kinsoku/>
        <w:topLinePunct/>
        <w:autoSpaceDE/>
        <w:autoSpaceDN/>
        <w:bidi w:val="0"/>
        <w:adjustRightInd/>
        <w:snapToGrid/>
        <w:spacing w:before="0" w:line="580" w:lineRule="exact"/>
        <w:ind w:left="266"/>
        <w:jc w:val="center"/>
        <w:rPr>
          <w:rFonts w:ascii="方正小标宋简体" w:hAnsi="宋体" w:eastAsia="方正小标宋简体" w:cs="宋体"/>
          <w:bCs/>
          <w:spacing w:val="0"/>
          <w:sz w:val="44"/>
          <w:szCs w:val="44"/>
          <w:lang w:eastAsia="zh-CN"/>
        </w:rPr>
      </w:pPr>
      <w:r>
        <w:rPr>
          <w:rFonts w:hint="eastAsia" w:ascii="方正小标宋简体" w:hAnsi="宋体" w:eastAsia="方正小标宋简体" w:cs="宋体"/>
          <w:bCs/>
          <w:spacing w:val="0"/>
          <w:sz w:val="44"/>
          <w:szCs w:val="44"/>
          <w:lang w:eastAsia="zh-CN"/>
        </w:rPr>
        <w:t>关于《包头市东河区土地征收成片开发</w:t>
      </w:r>
    </w:p>
    <w:p>
      <w:pPr>
        <w:keepNext w:val="0"/>
        <w:keepLines w:val="0"/>
        <w:pageBreakBefore w:val="0"/>
        <w:widowControl w:val="0"/>
        <w:kinsoku/>
        <w:topLinePunct/>
        <w:autoSpaceDE/>
        <w:autoSpaceDN/>
        <w:bidi w:val="0"/>
        <w:adjustRightInd/>
        <w:snapToGrid/>
        <w:spacing w:before="0" w:line="580" w:lineRule="exact"/>
        <w:ind w:left="266"/>
        <w:jc w:val="center"/>
        <w:rPr>
          <w:rFonts w:hint="eastAsia" w:ascii="方正小标宋简体" w:hAnsi="宋体" w:eastAsia="方正小标宋简体" w:cs="宋体"/>
          <w:bCs/>
          <w:spacing w:val="0"/>
          <w:sz w:val="44"/>
          <w:szCs w:val="44"/>
          <w:lang w:eastAsia="zh-CN"/>
        </w:rPr>
      </w:pPr>
      <w:r>
        <w:rPr>
          <w:rFonts w:hint="eastAsia" w:ascii="方正小标宋简体" w:hAnsi="宋体" w:eastAsia="方正小标宋简体" w:cs="宋体"/>
          <w:bCs/>
          <w:spacing w:val="0"/>
          <w:sz w:val="44"/>
          <w:szCs w:val="44"/>
          <w:lang w:eastAsia="zh-CN"/>
        </w:rPr>
        <w:t>调整方案（2022-2023年）》的批复</w:t>
      </w:r>
    </w:p>
    <w:p>
      <w:pPr>
        <w:keepNext w:val="0"/>
        <w:keepLines w:val="0"/>
        <w:pageBreakBefore w:val="0"/>
        <w:widowControl w:val="0"/>
        <w:kinsoku/>
        <w:topLinePunct/>
        <w:autoSpaceDE/>
        <w:autoSpaceDN/>
        <w:bidi w:val="0"/>
        <w:adjustRightInd/>
        <w:snapToGrid/>
        <w:spacing w:before="0" w:line="580" w:lineRule="exact"/>
        <w:ind w:left="266"/>
        <w:jc w:val="center"/>
        <w:rPr>
          <w:rFonts w:hint="eastAsia" w:ascii="仿宋_GB2312" w:eastAsia="仿宋_GB2312"/>
          <w:sz w:val="32"/>
          <w:szCs w:val="32"/>
        </w:rPr>
      </w:pPr>
    </w:p>
    <w:p>
      <w:pPr>
        <w:keepNext w:val="0"/>
        <w:keepLines w:val="0"/>
        <w:pageBreakBefore w:val="0"/>
        <w:widowControl w:val="0"/>
        <w:kinsoku/>
        <w:topLinePunct/>
        <w:autoSpaceDE/>
        <w:autoSpaceDN/>
        <w:bidi w:val="0"/>
        <w:adjustRightInd/>
        <w:snapToGrid/>
        <w:spacing w:before="0" w:line="580" w:lineRule="exact"/>
        <w:ind w:left="266"/>
        <w:jc w:val="center"/>
        <w:rPr>
          <w:rFonts w:hint="eastAsia" w:ascii="方正小标宋简体" w:hAnsi="宋体" w:eastAsia="方正小标宋简体" w:cs="宋体"/>
          <w:bCs/>
          <w:spacing w:val="0"/>
          <w:sz w:val="44"/>
          <w:szCs w:val="44"/>
          <w:lang w:eastAsia="zh-CN"/>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115</w:t>
      </w:r>
      <w:r>
        <w:rPr>
          <w:rFonts w:hint="eastAsia" w:ascii="仿宋_GB2312" w:eastAsia="仿宋_GB2312"/>
          <w:sz w:val="32"/>
          <w:szCs w:val="32"/>
        </w:rPr>
        <w:t>号</w:t>
      </w:r>
    </w:p>
    <w:p>
      <w:pPr>
        <w:keepNext w:val="0"/>
        <w:keepLines w:val="0"/>
        <w:pageBreakBefore w:val="0"/>
        <w:widowControl w:val="0"/>
        <w:kinsoku/>
        <w:topLinePunct/>
        <w:autoSpaceDE/>
        <w:autoSpaceDN/>
        <w:bidi w:val="0"/>
        <w:adjustRightInd/>
        <w:snapToGrid/>
        <w:spacing w:line="580" w:lineRule="exact"/>
        <w:rPr>
          <w:rFonts w:ascii="仿宋_GB2312" w:eastAsia="仿宋_GB2312"/>
          <w:sz w:val="32"/>
          <w:szCs w:val="32"/>
          <w:lang w:eastAsia="zh-CN"/>
        </w:rPr>
      </w:pPr>
    </w:p>
    <w:p>
      <w:pPr>
        <w:pStyle w:val="2"/>
        <w:keepNext w:val="0"/>
        <w:keepLines w:val="0"/>
        <w:pageBreakBefore w:val="0"/>
        <w:widowControl w:val="0"/>
        <w:kinsoku/>
        <w:overflowPunct w:val="0"/>
        <w:topLinePunct/>
        <w:autoSpaceDE/>
        <w:autoSpaceDN/>
        <w:bidi w:val="0"/>
        <w:adjustRightInd/>
        <w:snapToGrid/>
        <w:spacing w:line="580" w:lineRule="exact"/>
        <w:ind w:left="40"/>
        <w:jc w:val="both"/>
        <w:textAlignment w:val="center"/>
        <w:rPr>
          <w:rFonts w:hint="eastAsia" w:ascii="仿宋" w:hAnsi="仿宋" w:eastAsia="仿宋" w:cs="仿宋"/>
          <w:kern w:val="32"/>
          <w:sz w:val="32"/>
          <w:szCs w:val="32"/>
          <w:lang w:eastAsia="zh-CN"/>
        </w:rPr>
      </w:pPr>
      <w:bookmarkStart w:id="2" w:name="_GoBack"/>
      <w:r>
        <w:rPr>
          <w:rFonts w:hint="eastAsia" w:ascii="仿宋" w:hAnsi="仿宋" w:eastAsia="仿宋" w:cs="仿宋"/>
          <w:spacing w:val="0"/>
          <w:kern w:val="32"/>
          <w:sz w:val="32"/>
          <w:szCs w:val="32"/>
          <w:lang w:eastAsia="zh-CN"/>
        </w:rPr>
        <w:t>包头市人民政府：</w:t>
      </w:r>
    </w:p>
    <w:p>
      <w:pPr>
        <w:pStyle w:val="2"/>
        <w:keepNext w:val="0"/>
        <w:keepLines w:val="0"/>
        <w:pageBreakBefore w:val="0"/>
        <w:widowControl w:val="0"/>
        <w:kinsoku/>
        <w:wordWrap/>
        <w:overflowPunct w:val="0"/>
        <w:topLinePunct/>
        <w:autoSpaceDE/>
        <w:autoSpaceDN/>
        <w:bidi w:val="0"/>
        <w:adjustRightInd/>
        <w:snapToGrid/>
        <w:spacing w:line="580" w:lineRule="exact"/>
        <w:ind w:left="40" w:right="40" w:firstLine="641"/>
        <w:jc w:val="both"/>
        <w:textAlignment w:val="center"/>
        <w:rPr>
          <w:rFonts w:hint="eastAsia" w:ascii="仿宋" w:hAnsi="仿宋" w:eastAsia="仿宋" w:cs="仿宋"/>
          <w:kern w:val="32"/>
          <w:sz w:val="32"/>
          <w:szCs w:val="32"/>
          <w:lang w:eastAsia="zh-CN"/>
        </w:rPr>
      </w:pPr>
      <w:r>
        <w:rPr>
          <w:rFonts w:hint="eastAsia" w:ascii="仿宋" w:hAnsi="仿宋" w:eastAsia="仿宋" w:cs="仿宋"/>
          <w:spacing w:val="0"/>
          <w:kern w:val="32"/>
          <w:sz w:val="32"/>
          <w:szCs w:val="32"/>
          <w:lang w:eastAsia="zh-CN"/>
        </w:rPr>
        <w:t>你市《</w:t>
      </w:r>
      <w:r>
        <w:rPr>
          <w:rFonts w:hint="eastAsia" w:ascii="仿宋" w:hAnsi="仿宋" w:eastAsia="仿宋" w:cs="仿宋"/>
          <w:bCs/>
          <w:kern w:val="32"/>
          <w:sz w:val="32"/>
          <w:szCs w:val="32"/>
          <w:lang w:eastAsia="zh-CN"/>
        </w:rPr>
        <w:t>关于调整包头市东河区土地征收成片开发方案（2022-2023年）部</w:t>
      </w:r>
      <w:r>
        <w:rPr>
          <w:rFonts w:hint="eastAsia" w:ascii="仿宋" w:hAnsi="仿宋" w:eastAsia="仿宋" w:cs="仿宋"/>
          <w:bCs/>
          <w:spacing w:val="-6"/>
          <w:kern w:val="32"/>
          <w:sz w:val="32"/>
          <w:szCs w:val="32"/>
          <w:lang w:eastAsia="zh-CN"/>
        </w:rPr>
        <w:t>分地块的请示</w:t>
      </w:r>
      <w:r>
        <w:rPr>
          <w:rFonts w:hint="eastAsia" w:ascii="仿宋" w:hAnsi="仿宋" w:eastAsia="仿宋" w:cs="仿宋"/>
          <w:spacing w:val="-6"/>
          <w:kern w:val="32"/>
          <w:sz w:val="32"/>
          <w:szCs w:val="32"/>
          <w:lang w:eastAsia="zh-CN"/>
        </w:rPr>
        <w:t>》（包府报〔2024〕61号）收悉。</w:t>
      </w:r>
      <w:r>
        <w:rPr>
          <w:rFonts w:hint="eastAsia" w:ascii="仿宋" w:hAnsi="仿宋" w:eastAsia="仿宋" w:cs="仿宋"/>
          <w:spacing w:val="0"/>
          <w:kern w:val="32"/>
          <w:sz w:val="32"/>
          <w:szCs w:val="32"/>
          <w:lang w:eastAsia="zh-CN"/>
        </w:rPr>
        <w:t>现批复如下：</w:t>
      </w:r>
    </w:p>
    <w:p>
      <w:pPr>
        <w:pStyle w:val="2"/>
        <w:keepNext w:val="0"/>
        <w:keepLines w:val="0"/>
        <w:pageBreakBefore w:val="0"/>
        <w:widowControl w:val="0"/>
        <w:kinsoku/>
        <w:overflowPunct w:val="0"/>
        <w:topLinePunct/>
        <w:autoSpaceDE/>
        <w:autoSpaceDN/>
        <w:bidi w:val="0"/>
        <w:adjustRightInd/>
        <w:snapToGrid/>
        <w:spacing w:line="580" w:lineRule="exact"/>
        <w:ind w:left="25" w:right="4" w:firstLine="644"/>
        <w:jc w:val="both"/>
        <w:textAlignment w:val="center"/>
        <w:rPr>
          <w:rFonts w:hint="eastAsia" w:ascii="仿宋" w:hAnsi="仿宋" w:eastAsia="仿宋" w:cs="仿宋"/>
          <w:spacing w:val="0"/>
          <w:kern w:val="32"/>
          <w:sz w:val="32"/>
          <w:szCs w:val="32"/>
          <w:lang w:eastAsia="zh-CN"/>
        </w:rPr>
      </w:pPr>
      <w:r>
        <w:rPr>
          <w:rFonts w:hint="eastAsia" w:ascii="仿宋" w:hAnsi="仿宋" w:eastAsia="仿宋" w:cs="仿宋"/>
          <w:spacing w:val="0"/>
          <w:kern w:val="32"/>
          <w:sz w:val="32"/>
          <w:szCs w:val="32"/>
          <w:lang w:eastAsia="zh-CN"/>
        </w:rPr>
        <w:t>经自治区自然资源厅组织专家论证和审查，《包头市东河区土地征收成片开发调整方案(2022-2023年)》符合《中华人民共和国土地管理法》、《自然资源部关于印发</w:t>
      </w:r>
      <w:r>
        <w:rPr>
          <w:rFonts w:hint="eastAsia" w:ascii="仿宋" w:hAnsi="仿宋" w:eastAsia="仿宋" w:cs="仿宋"/>
          <w:kern w:val="32"/>
          <w:sz w:val="32"/>
          <w:szCs w:val="32"/>
          <w:lang w:eastAsia="zh-CN"/>
        </w:rPr>
        <w:t>〈</w:t>
      </w:r>
      <w:r>
        <w:rPr>
          <w:rFonts w:hint="eastAsia" w:ascii="仿宋" w:hAnsi="仿宋" w:eastAsia="仿宋" w:cs="仿宋"/>
          <w:spacing w:val="0"/>
          <w:kern w:val="32"/>
          <w:sz w:val="32"/>
          <w:szCs w:val="32"/>
          <w:lang w:eastAsia="zh-CN"/>
        </w:rPr>
        <w:t>土地征收成片开发标准</w:t>
      </w:r>
      <w:r>
        <w:rPr>
          <w:rFonts w:hint="eastAsia" w:ascii="仿宋" w:hAnsi="仿宋" w:eastAsia="仿宋" w:cs="仿宋"/>
          <w:kern w:val="32"/>
          <w:sz w:val="32"/>
          <w:szCs w:val="32"/>
          <w:lang w:eastAsia="zh-CN"/>
        </w:rPr>
        <w:t>〉</w:t>
      </w:r>
      <w:r>
        <w:rPr>
          <w:rFonts w:hint="eastAsia" w:ascii="仿宋" w:hAnsi="仿宋" w:eastAsia="仿宋" w:cs="仿宋"/>
          <w:spacing w:val="0"/>
          <w:kern w:val="32"/>
          <w:sz w:val="32"/>
          <w:szCs w:val="32"/>
          <w:lang w:eastAsia="zh-CN"/>
        </w:rPr>
        <w:t>的通知》(自然资规〔2023〕7号)</w:t>
      </w:r>
      <w:r>
        <w:rPr>
          <w:rFonts w:hint="eastAsia" w:ascii="仿宋" w:hAnsi="仿宋" w:eastAsia="仿宋" w:cs="仿宋"/>
          <w:kern w:val="32"/>
          <w:sz w:val="32"/>
          <w:szCs w:val="32"/>
          <w:lang w:eastAsia="zh-CN"/>
        </w:rPr>
        <w:t>、</w:t>
      </w:r>
      <w:r>
        <w:rPr>
          <w:rFonts w:hint="eastAsia" w:ascii="仿宋" w:hAnsi="仿宋" w:eastAsia="仿宋" w:cs="仿宋"/>
          <w:spacing w:val="0"/>
          <w:kern w:val="32"/>
          <w:sz w:val="32"/>
          <w:szCs w:val="32"/>
          <w:lang w:eastAsia="zh-CN"/>
        </w:rPr>
        <w:t>《内蒙古自治区土地征收成片开发实施细则(试行)》</w:t>
      </w:r>
      <w:r>
        <w:rPr>
          <w:rFonts w:hint="eastAsia" w:ascii="仿宋" w:hAnsi="仿宋" w:eastAsia="仿宋" w:cs="仿宋"/>
          <w:bCs/>
          <w:kern w:val="32"/>
          <w:sz w:val="32"/>
          <w:szCs w:val="32"/>
          <w:lang w:eastAsia="zh-CN"/>
        </w:rPr>
        <w:t>（内自然资函〔2022〕305号）</w:t>
      </w:r>
      <w:r>
        <w:rPr>
          <w:rFonts w:hint="eastAsia" w:ascii="仿宋" w:hAnsi="仿宋" w:eastAsia="仿宋" w:cs="仿宋"/>
          <w:kern w:val="32"/>
          <w:sz w:val="32"/>
          <w:szCs w:val="32"/>
          <w:lang w:eastAsia="zh-CN"/>
        </w:rPr>
        <w:t>和</w:t>
      </w:r>
      <w:r>
        <w:rPr>
          <w:rFonts w:hint="eastAsia" w:ascii="仿宋" w:hAnsi="仿宋" w:eastAsia="仿宋" w:cs="仿宋"/>
          <w:spacing w:val="0"/>
          <w:kern w:val="32"/>
          <w:sz w:val="32"/>
          <w:szCs w:val="32"/>
          <w:lang w:eastAsia="zh-CN"/>
        </w:rPr>
        <w:t>《内蒙古自治区自然资源厅关于进一步规范土地征收成片开发方案有关工作的通知》</w:t>
      </w:r>
      <w:r>
        <w:rPr>
          <w:rFonts w:hint="eastAsia" w:ascii="仿宋" w:hAnsi="仿宋" w:eastAsia="仿宋" w:cs="仿宋"/>
          <w:kern w:val="32"/>
          <w:sz w:val="32"/>
          <w:szCs w:val="32"/>
          <w:lang w:eastAsia="zh-CN"/>
        </w:rPr>
        <w:t>（</w:t>
      </w:r>
      <w:r>
        <w:rPr>
          <w:rFonts w:hint="eastAsia" w:ascii="仿宋" w:hAnsi="仿宋" w:eastAsia="仿宋" w:cs="仿宋"/>
          <w:spacing w:val="0"/>
          <w:kern w:val="32"/>
          <w:sz w:val="32"/>
          <w:szCs w:val="32"/>
          <w:lang w:eastAsia="zh-CN"/>
        </w:rPr>
        <w:t>内自然资字〔2024〕15号</w:t>
      </w:r>
      <w:r>
        <w:rPr>
          <w:rFonts w:hint="eastAsia" w:ascii="仿宋" w:hAnsi="仿宋" w:eastAsia="仿宋" w:cs="仿宋"/>
          <w:kern w:val="32"/>
          <w:sz w:val="32"/>
          <w:szCs w:val="32"/>
          <w:lang w:eastAsia="zh-CN"/>
        </w:rPr>
        <w:t>）</w:t>
      </w:r>
      <w:r>
        <w:rPr>
          <w:rFonts w:hint="eastAsia" w:ascii="仿宋" w:hAnsi="仿宋" w:eastAsia="仿宋" w:cs="仿宋"/>
          <w:spacing w:val="0"/>
          <w:kern w:val="32"/>
          <w:sz w:val="32"/>
          <w:szCs w:val="32"/>
          <w:lang w:eastAsia="zh-CN"/>
        </w:rPr>
        <w:t>要求，符合国土空间总体规划管控规则。原则同意《包头市东河区土地征收成片开发调整方案(2022-2023年)》,请依法依规做好各项工作。</w:t>
      </w:r>
    </w:p>
    <w:p>
      <w:pPr>
        <w:pStyle w:val="2"/>
        <w:keepNext w:val="0"/>
        <w:keepLines w:val="0"/>
        <w:pageBreakBefore w:val="0"/>
        <w:widowControl w:val="0"/>
        <w:kinsoku/>
        <w:overflowPunct w:val="0"/>
        <w:topLinePunct/>
        <w:autoSpaceDE/>
        <w:autoSpaceDN/>
        <w:bidi w:val="0"/>
        <w:adjustRightInd/>
        <w:snapToGrid/>
        <w:spacing w:line="580" w:lineRule="exact"/>
        <w:ind w:left="25" w:right="4" w:firstLine="644"/>
        <w:jc w:val="both"/>
        <w:textAlignment w:val="center"/>
        <w:rPr>
          <w:rFonts w:hint="eastAsia" w:ascii="仿宋" w:hAnsi="仿宋" w:eastAsia="仿宋" w:cs="仿宋"/>
          <w:kern w:val="32"/>
          <w:sz w:val="32"/>
          <w:szCs w:val="32"/>
          <w:lang w:eastAsia="zh-CN"/>
        </w:rPr>
      </w:pPr>
    </w:p>
    <w:p>
      <w:pPr>
        <w:keepNext w:val="0"/>
        <w:keepLines w:val="0"/>
        <w:pageBreakBefore w:val="0"/>
        <w:widowControl w:val="0"/>
        <w:kinsoku/>
        <w:wordWrap w:val="0"/>
        <w:topLinePunct/>
        <w:autoSpaceDE/>
        <w:autoSpaceDN/>
        <w:bidi w:val="0"/>
        <w:adjustRightInd/>
        <w:snapToGrid/>
        <w:spacing w:line="580" w:lineRule="exact"/>
        <w:ind w:firstLine="4929"/>
        <w:jc w:val="both"/>
        <w:rPr>
          <w:rFonts w:hint="eastAsia" w:ascii="仿宋" w:hAnsi="仿宋" w:eastAsia="仿宋" w:cs="仿宋"/>
          <w:sz w:val="32"/>
          <w:lang w:eastAsia="zh-CN"/>
        </w:rPr>
      </w:pPr>
    </w:p>
    <w:p>
      <w:pPr>
        <w:keepNext w:val="0"/>
        <w:keepLines w:val="0"/>
        <w:pageBreakBefore w:val="0"/>
        <w:widowControl w:val="0"/>
        <w:kinsoku/>
        <w:wordWrap w:val="0"/>
        <w:topLinePunct/>
        <w:autoSpaceDE/>
        <w:autoSpaceDN/>
        <w:bidi w:val="0"/>
        <w:adjustRightInd/>
        <w:snapToGrid/>
        <w:spacing w:line="580" w:lineRule="exact"/>
        <w:ind w:firstLine="4929"/>
        <w:jc w:val="both"/>
        <w:rPr>
          <w:rFonts w:hint="eastAsia" w:ascii="仿宋" w:hAnsi="仿宋" w:eastAsia="仿宋" w:cs="仿宋"/>
          <w:sz w:val="32"/>
          <w:lang w:eastAsia="zh-CN"/>
        </w:rPr>
      </w:pPr>
    </w:p>
    <w:p>
      <w:pPr>
        <w:keepNext w:val="0"/>
        <w:keepLines w:val="0"/>
        <w:pageBreakBefore w:val="0"/>
        <w:widowControl w:val="0"/>
        <w:kinsoku/>
        <w:wordWrap w:val="0"/>
        <w:topLinePunct/>
        <w:autoSpaceDE/>
        <w:autoSpaceDN/>
        <w:bidi w:val="0"/>
        <w:adjustRightInd/>
        <w:snapToGrid/>
        <w:spacing w:line="580" w:lineRule="exact"/>
        <w:ind w:firstLine="4929"/>
        <w:jc w:val="both"/>
        <w:rPr>
          <w:rFonts w:hint="eastAsia" w:ascii="仿宋" w:hAnsi="仿宋" w:eastAsia="仿宋" w:cs="仿宋"/>
          <w:sz w:val="32"/>
          <w:lang w:eastAsia="zh-CN"/>
        </w:rPr>
      </w:pPr>
    </w:p>
    <w:p>
      <w:pPr>
        <w:keepNext w:val="0"/>
        <w:keepLines w:val="0"/>
        <w:pageBreakBefore w:val="0"/>
        <w:widowControl w:val="0"/>
        <w:tabs>
          <w:tab w:val="left" w:pos="8960"/>
        </w:tabs>
        <w:kinsoku/>
        <w:wordWrap w:val="0"/>
        <w:topLinePunct/>
        <w:autoSpaceDE/>
        <w:autoSpaceDN/>
        <w:bidi w:val="0"/>
        <w:adjustRightInd/>
        <w:snapToGrid/>
        <w:spacing w:line="580" w:lineRule="exact"/>
        <w:ind w:right="1317" w:rightChars="627" w:firstLine="5120" w:firstLineChars="1600"/>
        <w:jc w:val="both"/>
        <w:rPr>
          <w:rFonts w:hint="eastAsia" w:ascii="仿宋" w:hAnsi="仿宋" w:eastAsia="仿宋" w:cs="仿宋"/>
          <w:sz w:val="32"/>
          <w:lang w:eastAsia="zh-CN"/>
        </w:rPr>
      </w:pPr>
      <w:r>
        <w:rPr>
          <w:rFonts w:hint="eastAsia" w:ascii="仿宋" w:hAnsi="仿宋" w:eastAsia="仿宋" w:cs="仿宋"/>
          <w:sz w:val="32"/>
          <w:lang w:eastAsia="zh-CN"/>
        </w:rPr>
        <w:t>2024年5月</w:t>
      </w:r>
      <w:r>
        <w:rPr>
          <w:rFonts w:hint="eastAsia" w:ascii="仿宋" w:hAnsi="仿宋" w:eastAsia="仿宋" w:cs="仿宋"/>
          <w:sz w:val="32"/>
          <w:lang w:val="en-US" w:eastAsia="zh-CN"/>
        </w:rPr>
        <w:t>23</w:t>
      </w:r>
      <w:r>
        <w:rPr>
          <w:rFonts w:hint="eastAsia" w:ascii="仿宋" w:hAnsi="仿宋" w:eastAsia="仿宋" w:cs="仿宋"/>
          <w:sz w:val="32"/>
          <w:lang w:eastAsia="zh-CN"/>
        </w:rPr>
        <w:t>日</w:t>
      </w:r>
    </w:p>
    <w:p>
      <w:pPr>
        <w:pStyle w:val="2"/>
        <w:keepNext w:val="0"/>
        <w:keepLines w:val="0"/>
        <w:pageBreakBefore w:val="0"/>
        <w:widowControl w:val="0"/>
        <w:kinsoku/>
        <w:topLinePunct/>
        <w:autoSpaceDE/>
        <w:autoSpaceDN/>
        <w:bidi w:val="0"/>
        <w:adjustRightInd/>
        <w:snapToGrid/>
        <w:spacing w:before="0" w:line="580" w:lineRule="exact"/>
        <w:ind w:left="629"/>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(此件公开发布)</w:t>
      </w:r>
    </w:p>
    <w:bookmarkEnd w:id="2"/>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bidi w:val="0"/>
        <w:adjustRightInd/>
        <w:snapToGrid/>
        <w:spacing w:before="0" w:line="580" w:lineRule="exact"/>
        <w:ind w:left="629"/>
        <w:rPr>
          <w:rFonts w:hint="eastAsia" w:ascii="仿宋" w:hAnsi="仿宋" w:eastAsia="仿宋" w:cs="仿宋"/>
          <w:spacing w:val="27"/>
          <w:sz w:val="32"/>
          <w:szCs w:val="32"/>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400" w:lineRule="exact"/>
        <w:ind w:left="629"/>
        <w:textAlignment w:val="auto"/>
        <w:rPr>
          <w:rFonts w:hint="eastAsia" w:ascii="仿宋" w:hAnsi="仿宋" w:eastAsia="仿宋" w:cs="仿宋"/>
          <w:spacing w:val="27"/>
          <w:sz w:val="32"/>
          <w:szCs w:val="32"/>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400" w:lineRule="exact"/>
        <w:ind w:left="629"/>
        <w:textAlignment w:val="auto"/>
        <w:rPr>
          <w:rFonts w:hint="eastAsia" w:ascii="仿宋" w:hAnsi="仿宋" w:eastAsia="仿宋" w:cs="仿宋"/>
          <w:spacing w:val="27"/>
          <w:sz w:val="32"/>
          <w:szCs w:val="32"/>
          <w:lang w:eastAsia="zh-CN"/>
        </w:rPr>
      </w:pPr>
    </w:p>
    <w:p>
      <w:pPr>
        <w:keepNext w:val="0"/>
        <w:keepLines w:val="0"/>
        <w:pageBreakBefore w:val="0"/>
        <w:widowControl w:val="0"/>
        <w:kinsoku/>
        <w:bidi w:val="0"/>
        <w:adjustRightInd/>
        <w:snapToGrid/>
        <w:spacing w:line="580" w:lineRule="exact"/>
        <w:ind w:firstLine="280" w:firstLineChars="100"/>
        <w:rPr>
          <w:rFonts w:hint="eastAsia"/>
        </w:rPr>
      </w:pPr>
      <w:r>
        <w:rPr>
          <w:rFonts w:hint="eastAsia" w:ascii="仿宋" w:hAnsi="仿宋" w:eastAsia="仿宋" w:cs="仿宋"/>
          <w:spacing w:val="0"/>
          <w:kern w:val="32"/>
          <w:sz w:val="28"/>
          <w:szCs w:val="28"/>
          <w:lang w:eastAsia="zh-CN"/>
        </w:rPr>
        <w:t>抄送： 自治区自然资源厅。</w:t>
      </w:r>
      <w:bookmarkStart w:id="0" w:name="印章"/>
      <w:bookmarkEnd w:id="0"/>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71015" cy="442595"/>
                                  <wp:effectExtent l="0" t="0" r="635" b="14605"/>
                                  <wp:docPr id="2" name="图片 5" descr="C:\Users\Administrator\Desktop\NZZ115.jpgNZZ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NZZ115.jpgNZZ115"/>
                                          <pic:cNvPicPr>
                                            <a:picLocks noChangeAspect="1"/>
                                          </pic:cNvPicPr>
                                        </pic:nvPicPr>
                                        <pic:blipFill>
                                          <a:blip r:embed="rId6"/>
                                          <a:stretch>
                                            <a:fillRect/>
                                          </a:stretch>
                                        </pic:blipFill>
                                        <pic:spPr>
                                          <a:xfrm>
                                            <a:off x="0" y="0"/>
                                            <a:ext cx="1771015" cy="44259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71015" cy="442595"/>
                            <wp:effectExtent l="0" t="0" r="635" b="14605"/>
                            <wp:docPr id="2" name="图片 5" descr="C:\Users\Administrator\Desktop\NZZ115.jpgNZZ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NZZ115.jpgNZZ115"/>
                                    <pic:cNvPicPr>
                                      <a:picLocks noChangeAspect="1"/>
                                    </pic:cNvPicPr>
                                  </pic:nvPicPr>
                                  <pic:blipFill>
                                    <a:blip r:embed="rId6"/>
                                    <a:stretch>
                                      <a:fillRect/>
                                    </a:stretch>
                                  </pic:blipFill>
                                  <pic:spPr>
                                    <a:xfrm>
                                      <a:off x="0" y="0"/>
                                      <a:ext cx="1771015" cy="44259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73"/>
    <w:rsid w:val="00057363"/>
    <w:rsid w:val="001B7709"/>
    <w:rsid w:val="00271640"/>
    <w:rsid w:val="00302982"/>
    <w:rsid w:val="00323128"/>
    <w:rsid w:val="00337358"/>
    <w:rsid w:val="00351DB4"/>
    <w:rsid w:val="00444154"/>
    <w:rsid w:val="00452A73"/>
    <w:rsid w:val="00483E09"/>
    <w:rsid w:val="004B2561"/>
    <w:rsid w:val="00590762"/>
    <w:rsid w:val="006048D6"/>
    <w:rsid w:val="006114C2"/>
    <w:rsid w:val="00755D27"/>
    <w:rsid w:val="00825CE1"/>
    <w:rsid w:val="008408A0"/>
    <w:rsid w:val="00861E84"/>
    <w:rsid w:val="008E482C"/>
    <w:rsid w:val="00A3014F"/>
    <w:rsid w:val="00A77458"/>
    <w:rsid w:val="00AC3BB4"/>
    <w:rsid w:val="00B32830"/>
    <w:rsid w:val="00B33ED2"/>
    <w:rsid w:val="00B52F22"/>
    <w:rsid w:val="00B558E6"/>
    <w:rsid w:val="00B8542C"/>
    <w:rsid w:val="00C809B3"/>
    <w:rsid w:val="00CB0B2B"/>
    <w:rsid w:val="00CC1415"/>
    <w:rsid w:val="00D3579F"/>
    <w:rsid w:val="00D93A33"/>
    <w:rsid w:val="00DD4FCD"/>
    <w:rsid w:val="00DD700A"/>
    <w:rsid w:val="00DF62D9"/>
    <w:rsid w:val="00E751C2"/>
    <w:rsid w:val="00F71128"/>
    <w:rsid w:val="00F94438"/>
    <w:rsid w:val="1BF4474B"/>
    <w:rsid w:val="1EE76EEA"/>
    <w:rsid w:val="217D23BA"/>
    <w:rsid w:val="223F3EA3"/>
    <w:rsid w:val="27355263"/>
    <w:rsid w:val="27E04077"/>
    <w:rsid w:val="29255FCE"/>
    <w:rsid w:val="29C6311C"/>
    <w:rsid w:val="36193767"/>
    <w:rsid w:val="3DF7F11B"/>
    <w:rsid w:val="3E8003A9"/>
    <w:rsid w:val="43CE25A7"/>
    <w:rsid w:val="4FD33F1F"/>
    <w:rsid w:val="51E6271D"/>
    <w:rsid w:val="55A45E8F"/>
    <w:rsid w:val="5D1F5A18"/>
    <w:rsid w:val="5FC47C57"/>
    <w:rsid w:val="5FF01CE8"/>
    <w:rsid w:val="604307FB"/>
    <w:rsid w:val="612A5090"/>
    <w:rsid w:val="67214CEF"/>
    <w:rsid w:val="67C742AE"/>
    <w:rsid w:val="68C13D1E"/>
    <w:rsid w:val="69AA7AA3"/>
    <w:rsid w:val="6ADE316A"/>
    <w:rsid w:val="73ED9CD8"/>
    <w:rsid w:val="76167F2F"/>
    <w:rsid w:val="76240541"/>
    <w:rsid w:val="7B2D5C49"/>
    <w:rsid w:val="7B4483A2"/>
    <w:rsid w:val="7C7734A3"/>
    <w:rsid w:val="7D1850A2"/>
    <w:rsid w:val="9DDF79F6"/>
    <w:rsid w:val="B7FBB3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宋体" w:hAnsi="宋体" w:eastAsia="宋体" w:cs="宋体"/>
      <w:kern w:val="0"/>
      <w:sz w:val="32"/>
      <w:szCs w:val="32"/>
      <w:lang w:eastAsia="en-US"/>
    </w:rPr>
  </w:style>
  <w:style w:type="paragraph" w:styleId="3">
    <w:name w:val="Date"/>
    <w:basedOn w:val="1"/>
    <w:next w:val="1"/>
    <w:link w:val="12"/>
    <w:qFormat/>
    <w:uiPriority w:val="0"/>
    <w:pPr>
      <w:ind w:left="100" w:leftChars="2500"/>
    </w:pPr>
    <w:rPr>
      <w:rFonts w:ascii="仿宋_GB2312" w:hAnsi="Times New Roman" w:eastAsia="仿宋_GB2312" w:cs="Times New Roman"/>
      <w:sz w:val="32"/>
      <w:szCs w:val="24"/>
    </w:rPr>
  </w:style>
  <w:style w:type="paragraph" w:styleId="4">
    <w:name w:val="Balloon Text"/>
    <w:basedOn w:val="1"/>
    <w:link w:val="13"/>
    <w:unhideWhenUsed/>
    <w:qFormat/>
    <w:uiPriority w:val="99"/>
    <w:rPr>
      <w:rFonts w:ascii="Calibri" w:hAnsi="Calibri" w:eastAsia="宋体" w:cs="Times New Roman"/>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正文文本 Char"/>
    <w:basedOn w:val="9"/>
    <w:link w:val="2"/>
    <w:qFormat/>
    <w:uiPriority w:val="1"/>
    <w:rPr>
      <w:rFonts w:ascii="宋体" w:hAnsi="宋体" w:eastAsia="宋体" w:cs="宋体"/>
      <w:kern w:val="0"/>
      <w:sz w:val="32"/>
      <w:szCs w:val="32"/>
      <w:lang w:eastAsia="en-US"/>
    </w:rPr>
  </w:style>
  <w:style w:type="character" w:customStyle="1" w:styleId="12">
    <w:name w:val="日期 Char"/>
    <w:basedOn w:val="9"/>
    <w:link w:val="3"/>
    <w:qFormat/>
    <w:uiPriority w:val="0"/>
    <w:rPr>
      <w:rFonts w:ascii="仿宋_GB2312" w:hAnsi="Times New Roman" w:eastAsia="仿宋_GB2312" w:cs="Times New Roman"/>
      <w:sz w:val="32"/>
      <w:szCs w:val="24"/>
    </w:rPr>
  </w:style>
  <w:style w:type="character" w:customStyle="1" w:styleId="13">
    <w:name w:val="批注框文本 Char"/>
    <w:basedOn w:val="9"/>
    <w:link w:val="4"/>
    <w:semiHidden/>
    <w:qFormat/>
    <w:uiPriority w:val="99"/>
    <w:rPr>
      <w:rFonts w:ascii="Calibri" w:hAnsi="Calibri" w:eastAsia="宋体" w:cs="Times New Roman"/>
      <w:sz w:val="18"/>
      <w:szCs w:val="18"/>
    </w:rPr>
  </w:style>
  <w:style w:type="character" w:customStyle="1" w:styleId="14">
    <w:name w:val="页脚 Char"/>
    <w:basedOn w:val="9"/>
    <w:link w:val="5"/>
    <w:uiPriority w:val="99"/>
    <w:rPr>
      <w:rFonts w:ascii="Calibri" w:hAnsi="Calibri" w:eastAsia="宋体" w:cs="Times New Roman"/>
      <w:kern w:val="2"/>
      <w:sz w:val="18"/>
      <w:szCs w:val="18"/>
    </w:rPr>
  </w:style>
  <w:style w:type="character" w:customStyle="1" w:styleId="15">
    <w:name w:val="页眉 Char"/>
    <w:basedOn w:val="9"/>
    <w:link w:val="6"/>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6</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哈斯高娃:返回发起人1</cp:lastModifiedBy>
  <cp:lastPrinted>2024-05-24T17:53:28Z</cp:lastPrinted>
  <dcterms:modified xsi:type="dcterms:W3CDTF">2024-05-30T01:26:04Z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