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520" w:lineRule="exact"/>
        <w:rPr>
          <w:rFonts w:hint="eastAsia"/>
          <w:sz w:val="44"/>
        </w:rPr>
      </w:pPr>
      <w:bookmarkStart w:id="4" w:name="_GoBack"/>
      <w:bookmarkEnd w:id="4"/>
    </w:p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hint="eastAsia" w:ascii="仿宋_GB2312" w:hAnsi="华文仿宋" w:eastAsia="仿宋_GB2312"/>
          <w:sz w:val="32"/>
        </w:rPr>
      </w:pP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exact"/>
        <w:jc w:val="left"/>
        <w:textAlignment w:val="auto"/>
        <w:rPr>
          <w:rFonts w:hint="eastAsia" w:ascii="仿宋_GB2312" w:hAnsi="华文仿宋" w:eastAsia="仿宋_GB2312"/>
          <w:sz w:val="32"/>
          <w:szCs w:val="32"/>
        </w:rPr>
      </w:pPr>
      <w:bookmarkStart w:id="1" w:name="文号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2" w:name="正文文件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目录管理办法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内政办发〔2024〕</w:t>
      </w:r>
      <w:r>
        <w:rPr>
          <w:rFonts w:hint="eastAsia" w:ascii="仿宋_GB2312" w:hAnsi="华文仿宋" w:eastAsia="仿宋_GB2312"/>
          <w:sz w:val="32"/>
          <w:lang w:val="en-US" w:eastAsia="zh-CN"/>
        </w:rPr>
        <w:t>14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各盟行政公署、市人民政府，自治区各有关委、办、厅、局，各有关事业单位：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经自治区人民政府同意，现将《内蒙古自治区重大行政决策目录管理办法》印发给你们，请结合实际，认真遵照执行。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237" w:rightChars="589" w:firstLine="5280" w:firstLineChars="165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2024年4月10日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内蒙古自治区重大行政决策目录管理办法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为规范重大行政决策行为，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加强重大行政决策事项目录管理</w:t>
      </w:r>
      <w:r>
        <w:rPr>
          <w:rFonts w:hint="eastAsia" w:ascii="仿宋" w:hAnsi="仿宋" w:eastAsia="仿宋" w:cs="仿宋"/>
          <w:sz w:val="32"/>
          <w:szCs w:val="32"/>
        </w:rPr>
        <w:t>，根据《重大行政决策程序暂行条例》和《内蒙古自治区重大行政决策程序规定》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自治区人民政府令第248号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结合自治区实际，制定本办法。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旗县级以上人民政府及其工作部门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编制、调整重大行政决策事项目录，适用本办法。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第三条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重大行政决策目录管理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必须坚持和加强党的全面领导，坚持以铸牢中华民族共同体意识为工作主线，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遵循依法、科学、民主、公开、高效的原则。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第四条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内蒙古自治区重大行政决策程序规定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》第三条第</w:t>
      </w: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  <w:t>一款规定的重大行政决策事项，应</w:t>
      </w: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eastAsia="zh-CN"/>
        </w:rPr>
        <w:t>当</w:t>
      </w: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  <w:t>纳入重大行政决策目录范围。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自治区人民政府统一领导全区重大行政决策目录管理工作。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旗县级以上人民政府办公部门负责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本级政府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行政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决策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相关工作的组织、协调和指导等工作。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旗县级以上司法行政部门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负责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本级人民政府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行政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决策目录的编制、调整等工作。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旗县级以上人民政府工作部门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负责本部门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提请本级政府决策的重大行政决策事项目录的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申报和配合做好决策目录的编制、调整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等工作。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旗县级以上人民政府相关工作部门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应当于每年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下一年度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制定执行拟以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本级人民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政府名义作出的重大行政决策事项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建议报送司法行政部门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决策事项建议包括决策事项名称、依据、主要内容、拟解决的主要问题、决策程序、完成时限等。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七条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司法行政部门对收到有关部门单位报送的决策建议事项，会同相关部门单位进行审核，必要时，可以组织专家进行咨询论证，统筹拟定年度重大行政决策事项目录草案。形成年度决策目录草案后，按程序提请本级人民政府常务会议审议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旗县级以上人民政府相关工作部门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单位报送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重大行政决策事项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前，应当根据需要向下级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及部门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、其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他国家机关、社会团体、企事业单位和社会公众征集决策事项建议。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第九条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人大代表和政协委员通过建议和提案等方式，向旗县级以上人民政府提出重大行政决策事项建议的，政府相关部门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应当及时研究。经研究，认为需要列入重大行政决策事项目录的，按照规定程序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办理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第十条</w:t>
      </w:r>
      <w:r>
        <w:rPr>
          <w:rFonts w:hint="eastAsia" w:ascii="仿宋" w:hAnsi="仿宋" w:eastAsia="仿宋" w:cs="仿宋"/>
          <w:b/>
          <w:bCs/>
          <w:color w:val="30303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303030"/>
          <w:kern w:val="0"/>
          <w:sz w:val="32"/>
          <w:szCs w:val="32"/>
          <w:shd w:val="clear" w:color="auto" w:fill="FFFFFF"/>
        </w:rPr>
        <w:t>旗县级以上人民政府工作部门</w:t>
      </w:r>
      <w:r>
        <w:rPr>
          <w:rFonts w:hint="eastAsia" w:ascii="仿宋" w:hAnsi="仿宋" w:eastAsia="仿宋" w:cs="仿宋"/>
          <w:color w:val="303030"/>
          <w:kern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303030"/>
          <w:kern w:val="0"/>
          <w:sz w:val="32"/>
          <w:szCs w:val="32"/>
          <w:shd w:val="clear" w:color="auto" w:fill="FFFFFF"/>
        </w:rPr>
        <w:t>应当结合部门</w:t>
      </w:r>
      <w:r>
        <w:rPr>
          <w:rFonts w:hint="eastAsia" w:ascii="仿宋" w:hAnsi="仿宋" w:eastAsia="仿宋" w:cs="仿宋"/>
          <w:color w:val="303030"/>
          <w:kern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303030"/>
          <w:kern w:val="0"/>
          <w:sz w:val="32"/>
          <w:szCs w:val="32"/>
          <w:shd w:val="clear" w:color="auto" w:fill="FFFFFF"/>
        </w:rPr>
        <w:t>职责和年度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重点工作，制定实施本部门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重大行政决策目录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并向社会公布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第十一条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重大行政决策事项目录应当包括决策事项名称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决策承办单位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计划完成时间等。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除依法不得公开的决策事项外，决策目录原则上应当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政府常务会议审议通过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并经党委同意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，由本级人民政府办公部门在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20个工作日内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印发实施并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向社会公布。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第十二条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重大行政决策目录实行动态管理，根据各级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政府年度工作任务的增加、变更等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工作实际，及时履行相关调整程序。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重大行政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决策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目录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备案按照相关规定执行。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第十三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凡是纳入重大行政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决策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的决策事项，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承办部门单位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按照重大行政决策程序实施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，确保程序正当、过程公开、责任明确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第十四条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本办法执行情况纳入旗县级以上人民政府及其工作部门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法治政府建设工作考核内容。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第十五条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苏木乡镇人民政府、街道办事处的重大行政决策事项目录管理，参照本办法执行。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第十六条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03030"/>
          <w:kern w:val="0"/>
          <w:sz w:val="32"/>
          <w:szCs w:val="32"/>
          <w:shd w:val="clear" w:color="auto" w:fill="FFFFFF"/>
        </w:rPr>
        <w:t>本办法自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公布之日起施行。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8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3" w:name="二维条码"/>
                            <w:bookmarkEnd w:id="3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30530"/>
                                  <wp:effectExtent l="0" t="0" r="13335" b="7620"/>
                                  <wp:docPr id="2" name="图片 3" descr="20240416161516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40416161516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30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9264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qbwF2wAAAA0BAAAPAAAA&#10;AAAAAAEAIAAAACIAAABkcnMvZG93bnJldi54bWxQSwECFAAUAAAACACHTuJAAdiKINkBAADBAwAA&#10;DgAAAAAAAAABACAAAAAqAQAAZHJzL2Uyb0RvYy54bWxQSwUGAAAAAAYABgBZAQAAd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3" w:name="二维条码"/>
                      <w:bookmarkEnd w:id="3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30530"/>
                            <wp:effectExtent l="0" t="0" r="13335" b="7620"/>
                            <wp:docPr id="2" name="图片 3" descr="20240416161516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40416161516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30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896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 w:firstLine="280" w:firstLineChars="100"/>
              <w:textAlignment w:val="auto"/>
              <w:rPr>
                <w:rFonts w:hint="eastAsia" w:ascii="仿宋_GB2312" w:eastAsia="仿宋_GB2312"/>
                <w:spacing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pacing w:val="0"/>
                <w:sz w:val="28"/>
              </w:rPr>
              <w:t>抄送：自治区党委各</w:t>
            </w:r>
            <w:r>
              <w:rPr>
                <w:rFonts w:hint="eastAsia" w:ascii="仿宋_GB2312" w:eastAsia="仿宋_GB2312"/>
                <w:spacing w:val="0"/>
                <w:sz w:val="28"/>
                <w:lang w:eastAsia="zh-CN"/>
              </w:rPr>
              <w:t>有关</w:t>
            </w:r>
            <w:r>
              <w:rPr>
                <w:rFonts w:hint="eastAsia" w:ascii="仿宋_GB2312" w:eastAsia="仿宋_GB2312"/>
                <w:spacing w:val="0"/>
                <w:sz w:val="28"/>
              </w:rPr>
              <w:t>部门</w:t>
            </w:r>
            <w:r>
              <w:rPr>
                <w:rFonts w:hint="eastAsia" w:ascii="仿宋_GB2312" w:eastAsia="仿宋_GB2312"/>
                <w:spacing w:val="0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ascii="仿宋_GB2312" w:eastAsia="仿宋_GB2312"/>
                <w:spacing w:val="0"/>
                <w:sz w:val="28"/>
              </w:rPr>
            </w:pPr>
            <w:r>
              <w:rPr>
                <w:rFonts w:hint="eastAsia" w:ascii="仿宋_GB2312" w:eastAsia="仿宋_GB2312"/>
                <w:spacing w:val="0"/>
                <w:sz w:val="28"/>
              </w:rPr>
              <w:t xml:space="preserve">内蒙古自治区人民政府办公厅文电处    </w:t>
            </w:r>
            <w:r>
              <w:rPr>
                <w:rFonts w:hint="eastAsia" w:ascii="仿宋_GB2312" w:eastAsia="仿宋_GB2312"/>
                <w:spacing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0"/>
                <w:sz w:val="28"/>
              </w:rPr>
              <w:t>2024年</w:t>
            </w:r>
            <w:r>
              <w:rPr>
                <w:rFonts w:hint="eastAsia" w:ascii="仿宋_GB2312" w:eastAsia="仿宋_GB2312"/>
                <w:spacing w:val="0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0"/>
                <w:sz w:val="28"/>
              </w:rPr>
              <w:t>月</w:t>
            </w:r>
            <w:r>
              <w:rPr>
                <w:rFonts w:hint="eastAsia" w:ascii="仿宋_GB2312" w:eastAsia="仿宋_GB2312"/>
                <w:spacing w:val="0"/>
                <w:sz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pacing w:val="0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00E941F7"/>
    <w:rsid w:val="00122EA1"/>
    <w:rsid w:val="00132E64"/>
    <w:rsid w:val="00151C4B"/>
    <w:rsid w:val="001D2EC2"/>
    <w:rsid w:val="00243573"/>
    <w:rsid w:val="00294F4F"/>
    <w:rsid w:val="00302982"/>
    <w:rsid w:val="003F0B67"/>
    <w:rsid w:val="00456A72"/>
    <w:rsid w:val="005618EC"/>
    <w:rsid w:val="00582F58"/>
    <w:rsid w:val="005B2A9E"/>
    <w:rsid w:val="005C5E3B"/>
    <w:rsid w:val="005E0DCD"/>
    <w:rsid w:val="005F38E6"/>
    <w:rsid w:val="007B097B"/>
    <w:rsid w:val="008408A0"/>
    <w:rsid w:val="0086125A"/>
    <w:rsid w:val="008B066F"/>
    <w:rsid w:val="0093066E"/>
    <w:rsid w:val="00A54C2D"/>
    <w:rsid w:val="00AB301E"/>
    <w:rsid w:val="00B5388B"/>
    <w:rsid w:val="00B73533"/>
    <w:rsid w:val="00BE472B"/>
    <w:rsid w:val="00C67DA4"/>
    <w:rsid w:val="00D97AB1"/>
    <w:rsid w:val="00DB3818"/>
    <w:rsid w:val="00E62506"/>
    <w:rsid w:val="00E941F7"/>
    <w:rsid w:val="00F71128"/>
    <w:rsid w:val="00FF1981"/>
    <w:rsid w:val="023B43DC"/>
    <w:rsid w:val="05651BCD"/>
    <w:rsid w:val="10DE11D9"/>
    <w:rsid w:val="14556619"/>
    <w:rsid w:val="1A7D41CF"/>
    <w:rsid w:val="1D476C06"/>
    <w:rsid w:val="2082399D"/>
    <w:rsid w:val="20F74F8D"/>
    <w:rsid w:val="39C8691C"/>
    <w:rsid w:val="3DDF89FB"/>
    <w:rsid w:val="45024EE0"/>
    <w:rsid w:val="5113748C"/>
    <w:rsid w:val="53B0659A"/>
    <w:rsid w:val="59246455"/>
    <w:rsid w:val="5BAE3879"/>
    <w:rsid w:val="5EFB71D0"/>
    <w:rsid w:val="6148093F"/>
    <w:rsid w:val="619E1B9B"/>
    <w:rsid w:val="6C532057"/>
    <w:rsid w:val="6F2C465B"/>
    <w:rsid w:val="7D164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普通(网站)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2024-04-16T16:41:00Z</dcterms:created>
  <dc:creator>uos</dc:creator>
  <cp:lastModifiedBy>ZWGK</cp:lastModifiedBy>
  <dcterms:modified xsi:type="dcterms:W3CDTF">2024-04-25T14:51:42Z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22B1BECA8091428284C70A53292D1E47_13</vt:lpwstr>
  </property>
</Properties>
</file>