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内蒙古自治区人民政府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Style w:val="12"/>
          <w:rFonts w:hint="eastAsia" w:ascii="方正小标宋简体" w:hAnsi="方正小标宋简体" w:eastAsia="方正小标宋简体" w:cs="方正小标宋简体"/>
          <w:color w:val="auto"/>
          <w:sz w:val="44"/>
          <w:szCs w:val="44"/>
        </w:rPr>
      </w:pPr>
      <w:r>
        <w:rPr>
          <w:rStyle w:val="12"/>
          <w:rFonts w:hint="eastAsia" w:ascii="方正小标宋简体" w:hAnsi="方正小标宋简体" w:eastAsia="方正小标宋简体" w:cs="方正小标宋简体"/>
          <w:color w:val="auto"/>
          <w:sz w:val="44"/>
          <w:szCs w:val="44"/>
        </w:rPr>
        <w:t>关于同意开设满洲里铁路口岸</w:t>
      </w:r>
      <w:r>
        <w:rPr>
          <w:rStyle w:val="12"/>
          <w:rFonts w:hint="eastAsia" w:ascii="方正小标宋简体" w:hAnsi="方正小标宋简体" w:eastAsia="方正小标宋简体" w:cs="方正小标宋简体"/>
          <w:color w:val="auto"/>
          <w:sz w:val="44"/>
          <w:szCs w:val="44"/>
          <w:lang w:eastAsia="zh-CN"/>
        </w:rPr>
        <w:t>中俄</w:t>
      </w:r>
      <w:r>
        <w:rPr>
          <w:rStyle w:val="12"/>
          <w:rFonts w:hint="eastAsia" w:ascii="方正小标宋简体" w:hAnsi="方正小标宋简体" w:eastAsia="方正小标宋简体" w:cs="方正小标宋简体"/>
          <w:color w:val="auto"/>
          <w:sz w:val="44"/>
          <w:szCs w:val="44"/>
        </w:rPr>
        <w:t>边民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Style w:val="12"/>
          <w:rFonts w:hint="eastAsia" w:ascii="方正小标宋简体" w:hAnsi="方正小标宋简体" w:eastAsia="方正小标宋简体" w:cs="方正小标宋简体"/>
          <w:color w:val="auto"/>
          <w:sz w:val="44"/>
          <w:szCs w:val="44"/>
        </w:rPr>
        <w:t>互市贸易</w:t>
      </w:r>
      <w:r>
        <w:rPr>
          <w:rStyle w:val="12"/>
          <w:rFonts w:hint="eastAsia" w:ascii="方正小标宋简体" w:hAnsi="方正小标宋简体" w:eastAsia="方正小标宋简体" w:cs="方正小标宋简体"/>
          <w:color w:val="auto"/>
          <w:sz w:val="44"/>
          <w:szCs w:val="44"/>
          <w:lang w:eastAsia="zh-CN"/>
        </w:rPr>
        <w:t>区</w:t>
      </w:r>
      <w:r>
        <w:rPr>
          <w:rFonts w:hint="eastAsia" w:ascii="方正小标宋简体" w:hAnsi="方正小标宋简体" w:eastAsia="方正小标宋简体" w:cs="方正小标宋简体"/>
          <w:color w:val="auto"/>
          <w:sz w:val="44"/>
          <w:szCs w:val="44"/>
          <w:lang w:eastAsia="zh-CN"/>
        </w:rPr>
        <w:t>并封关运营</w:t>
      </w:r>
      <w:r>
        <w:rPr>
          <w:rFonts w:hint="eastAsia" w:ascii="方正小标宋简体" w:hAnsi="方正小标宋简体" w:eastAsia="方正小标宋简体" w:cs="方正小标宋简体"/>
          <w:color w:val="auto"/>
          <w:sz w:val="44"/>
          <w:szCs w:val="44"/>
        </w:rPr>
        <w:t>的批复</w:t>
      </w:r>
    </w:p>
    <w:p>
      <w:pPr>
        <w:pStyle w:val="2"/>
        <w:rPr>
          <w:rFonts w:hint="eastAsia"/>
        </w:rPr>
      </w:pPr>
    </w:p>
    <w:p>
      <w:pPr>
        <w:pStyle w:val="2"/>
        <w:jc w:val="center"/>
      </w:pPr>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ind w:left="0" w:leftChars="0" w:firstLine="220" w:firstLineChars="200"/>
        <w:textAlignment w:val="auto"/>
        <w:rPr>
          <w:rFonts w:hint="eastAsia" w:ascii="仿宋" w:hAnsi="仿宋" w:eastAsia="仿宋" w:cs="仿宋"/>
          <w:color w:val="auto"/>
          <w:sz w:val="11"/>
          <w:szCs w:val="11"/>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color w:val="auto"/>
          <w:sz w:val="32"/>
          <w:szCs w:val="32"/>
        </w:rPr>
      </w:pPr>
      <w:bookmarkStart w:id="2" w:name="_GoBack"/>
      <w:r>
        <w:rPr>
          <w:rFonts w:hint="eastAsia" w:ascii="仿宋" w:hAnsi="仿宋" w:eastAsia="仿宋" w:cs="仿宋"/>
          <w:color w:val="auto"/>
          <w:sz w:val="32"/>
          <w:szCs w:val="32"/>
          <w:lang w:eastAsia="zh-CN"/>
        </w:rPr>
        <w:t>自治区商务厅、满洲里市人民政府</w:t>
      </w:r>
      <w:r>
        <w:rPr>
          <w:rFonts w:hint="eastAsia" w:ascii="仿宋" w:hAnsi="仿宋" w:eastAsia="仿宋" w:cs="仿宋"/>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color="auto" w:fill="FFFFFF"/>
          <w:lang w:val="en-US" w:eastAsia="zh-CN" w:bidi="ar"/>
        </w:rPr>
        <w:t>《满洲里市人民政府关于设立满洲里铁路、公路口岸互市贸易点的请示》（满政发〔2020〕8号）、</w:t>
      </w:r>
      <w:r>
        <w:rPr>
          <w:rFonts w:hint="eastAsia" w:ascii="仿宋" w:hAnsi="仿宋" w:eastAsia="仿宋" w:cs="仿宋"/>
          <w:color w:val="auto"/>
          <w:sz w:val="32"/>
          <w:szCs w:val="32"/>
          <w:lang w:val="en-US" w:eastAsia="zh-CN"/>
        </w:rPr>
        <w:t>《自治区商务厅</w:t>
      </w:r>
      <w:r>
        <w:rPr>
          <w:rFonts w:hint="eastAsia" w:ascii="仿宋" w:hAnsi="仿宋" w:eastAsia="仿宋" w:cs="仿宋"/>
          <w:color w:val="auto"/>
          <w:sz w:val="32"/>
          <w:szCs w:val="32"/>
        </w:rPr>
        <w:t>关于</w:t>
      </w:r>
      <w:r>
        <w:rPr>
          <w:rFonts w:hint="eastAsia" w:ascii="仿宋" w:hAnsi="仿宋" w:eastAsia="仿宋" w:cs="仿宋"/>
          <w:color w:val="auto"/>
          <w:sz w:val="32"/>
          <w:szCs w:val="32"/>
          <w:lang w:eastAsia="zh-CN"/>
        </w:rPr>
        <w:t>拟</w:t>
      </w:r>
      <w:r>
        <w:rPr>
          <w:rFonts w:hint="eastAsia" w:ascii="仿宋" w:hAnsi="仿宋" w:eastAsia="仿宋" w:cs="仿宋"/>
          <w:color w:val="auto"/>
          <w:sz w:val="32"/>
          <w:szCs w:val="32"/>
        </w:rPr>
        <w:t>同意开设满洲里铁路口岸中俄边民互市贸易</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并封关运营的请示</w:t>
      </w:r>
      <w:r>
        <w:rPr>
          <w:rFonts w:hint="eastAsia" w:ascii="仿宋" w:hAnsi="仿宋" w:eastAsia="仿宋" w:cs="仿宋"/>
          <w:color w:val="auto"/>
          <w:sz w:val="32"/>
          <w:szCs w:val="32"/>
          <w:lang w:val="en-US" w:eastAsia="zh-CN"/>
        </w:rPr>
        <w:t>》（内商贸字〔2024〕66号）</w:t>
      </w:r>
      <w:r>
        <w:rPr>
          <w:rFonts w:hint="eastAsia" w:ascii="仿宋" w:hAnsi="仿宋" w:eastAsia="仿宋" w:cs="仿宋"/>
          <w:color w:val="auto"/>
          <w:sz w:val="32"/>
          <w:szCs w:val="32"/>
          <w:lang w:eastAsia="zh-CN"/>
        </w:rPr>
        <w:t>收悉。现批复如下：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按照《内蒙古自治区边民互市贸易区管理办法》（内政办发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2018</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72号）相关要求，自治区商务厅联合满洲里海关和内蒙古出入境边防检查总站对满洲里铁路口岸中俄边民互市贸易区进行了联合验收，从验收情况看，该互市贸易区软硬件设施基本合格，已经具备</w:t>
      </w:r>
      <w:r>
        <w:rPr>
          <w:rFonts w:hint="eastAsia" w:ascii="仿宋" w:hAnsi="仿宋" w:eastAsia="仿宋" w:cs="仿宋"/>
          <w:color w:val="auto"/>
          <w:sz w:val="32"/>
          <w:szCs w:val="32"/>
          <w:lang w:eastAsia="zh-CN"/>
        </w:rPr>
        <w:t>开设</w:t>
      </w:r>
      <w:r>
        <w:rPr>
          <w:rFonts w:hint="eastAsia" w:ascii="仿宋" w:hAnsi="仿宋" w:eastAsia="仿宋" w:cs="仿宋"/>
          <w:color w:val="auto"/>
          <w:sz w:val="32"/>
          <w:szCs w:val="32"/>
        </w:rPr>
        <w:t>条件，同意自批复之日起正式开设并封关运营。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二、满洲里市要</w:t>
      </w:r>
      <w:r>
        <w:rPr>
          <w:rFonts w:hint="eastAsia" w:ascii="仿宋" w:hAnsi="仿宋" w:eastAsia="仿宋" w:cs="仿宋"/>
          <w:color w:val="auto"/>
          <w:sz w:val="32"/>
          <w:szCs w:val="32"/>
        </w:rPr>
        <w:t>按照国家和自治区有关规定，</w:t>
      </w:r>
      <w:r>
        <w:rPr>
          <w:rFonts w:hint="eastAsia" w:ascii="仿宋" w:hAnsi="仿宋" w:eastAsia="仿宋" w:cs="仿宋"/>
          <w:color w:val="auto"/>
          <w:sz w:val="32"/>
          <w:szCs w:val="32"/>
          <w:lang w:eastAsia="zh-CN"/>
        </w:rPr>
        <w:t>持续做好</w:t>
      </w:r>
      <w:r>
        <w:rPr>
          <w:rFonts w:hint="eastAsia" w:ascii="仿宋" w:hAnsi="仿宋" w:eastAsia="仿宋" w:cs="仿宋"/>
          <w:color w:val="auto"/>
          <w:sz w:val="32"/>
          <w:szCs w:val="32"/>
        </w:rPr>
        <w:t>基础设施</w:t>
      </w:r>
      <w:r>
        <w:rPr>
          <w:rFonts w:hint="eastAsia" w:ascii="仿宋" w:hAnsi="仿宋" w:eastAsia="仿宋" w:cs="仿宋"/>
          <w:color w:val="auto"/>
          <w:sz w:val="32"/>
          <w:szCs w:val="32"/>
          <w:lang w:eastAsia="zh-CN"/>
        </w:rPr>
        <w:t>运行维护和升级改造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切实</w:t>
      </w:r>
      <w:r>
        <w:rPr>
          <w:rFonts w:hint="eastAsia" w:ascii="仿宋" w:hAnsi="仿宋" w:eastAsia="仿宋" w:cs="仿宋"/>
          <w:color w:val="auto"/>
          <w:sz w:val="32"/>
          <w:szCs w:val="32"/>
        </w:rPr>
        <w:t>完善日常管理制度。同时，丰富互</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贸</w:t>
      </w:r>
      <w:r>
        <w:rPr>
          <w:rFonts w:hint="eastAsia" w:ascii="仿宋" w:hAnsi="仿宋" w:eastAsia="仿宋" w:cs="仿宋"/>
          <w:color w:val="auto"/>
          <w:sz w:val="32"/>
          <w:szCs w:val="32"/>
          <w:lang w:eastAsia="zh-CN"/>
        </w:rPr>
        <w:t>易区</w:t>
      </w:r>
      <w:r>
        <w:rPr>
          <w:rFonts w:hint="eastAsia" w:ascii="仿宋" w:hAnsi="仿宋" w:eastAsia="仿宋" w:cs="仿宋"/>
          <w:color w:val="auto"/>
          <w:sz w:val="32"/>
          <w:szCs w:val="32"/>
        </w:rPr>
        <w:t>商品种类、改进互</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贸</w:t>
      </w:r>
      <w:r>
        <w:rPr>
          <w:rFonts w:hint="eastAsia" w:ascii="仿宋" w:hAnsi="仿宋" w:eastAsia="仿宋" w:cs="仿宋"/>
          <w:color w:val="auto"/>
          <w:sz w:val="32"/>
          <w:szCs w:val="32"/>
          <w:lang w:eastAsia="zh-CN"/>
        </w:rPr>
        <w:t>易区</w:t>
      </w:r>
      <w:r>
        <w:rPr>
          <w:rFonts w:hint="eastAsia" w:ascii="仿宋" w:hAnsi="仿宋" w:eastAsia="仿宋" w:cs="仿宋"/>
          <w:color w:val="auto"/>
          <w:sz w:val="32"/>
          <w:szCs w:val="32"/>
        </w:rPr>
        <w:t>管理模式、提高贸易便利化水平</w:t>
      </w:r>
      <w:r>
        <w:rPr>
          <w:rFonts w:hint="eastAsia" w:ascii="仿宋" w:hAnsi="仿宋" w:eastAsia="仿宋" w:cs="仿宋"/>
          <w:color w:val="auto"/>
          <w:sz w:val="32"/>
          <w:szCs w:val="32"/>
          <w:lang w:eastAsia="zh-CN"/>
        </w:rPr>
        <w:t>，结合当地实际进一步放大边民互市贸易政策效应，主动对接“中俄新粮食陆路走廊”及“后贝加尔斯克粮食终端”等铁路转运设施项目，高效连接国内国际两个市场资源，</w:t>
      </w:r>
      <w:r>
        <w:rPr>
          <w:rFonts w:hint="eastAsia" w:ascii="仿宋" w:hAnsi="仿宋" w:eastAsia="仿宋" w:cs="仿宋"/>
          <w:color w:val="auto"/>
          <w:sz w:val="32"/>
          <w:szCs w:val="32"/>
        </w:rPr>
        <w:t>全面推动边民互市贸易创新发展。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商务、海关、边检、外汇、税务、市场监管等相关部门要结合各自职责，认真落实国家促进边境贸易创新发展的优惠政策，在通关、结汇、税收、市场监管等方面提供便利化条件和全方位服务，全力保障边民互市贸易持续健康发展。</w:t>
      </w:r>
    </w:p>
    <w:p>
      <w:pPr>
        <w:pStyle w:val="2"/>
        <w:keepNext w:val="0"/>
        <w:keepLines w:val="0"/>
        <w:pageBreakBefore w:val="0"/>
        <w:widowControl w:val="0"/>
        <w:kinsoku/>
        <w:wordWrap/>
        <w:overflowPunct/>
        <w:autoSpaceDE/>
        <w:autoSpaceDN/>
        <w:bidi w:val="0"/>
        <w:adjustRightInd/>
        <w:snapToGrid/>
        <w:spacing w:line="580" w:lineRule="exact"/>
        <w:ind w:left="0" w:leftChars="0"/>
        <w:textAlignment w:val="auto"/>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autoSpaceDE/>
        <w:autoSpaceDN/>
        <w:bidi w:val="0"/>
        <w:adjustRightInd/>
        <w:snapToGrid/>
        <w:spacing w:line="580" w:lineRule="exact"/>
        <w:ind w:left="0" w:leftChars="0"/>
        <w:textAlignment w:val="auto"/>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autoSpaceDE/>
        <w:autoSpaceDN/>
        <w:bidi w:val="0"/>
        <w:adjustRightInd/>
        <w:snapToGrid/>
        <w:spacing w:line="580" w:lineRule="exact"/>
        <w:ind w:left="0" w:leftChars="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tabs>
          <w:tab w:val="left" w:pos="7700"/>
        </w:tabs>
        <w:kinsoku/>
        <w:wordWrap/>
        <w:overflowPunct/>
        <w:topLinePunct/>
        <w:autoSpaceDE/>
        <w:autoSpaceDN/>
        <w:bidi w:val="0"/>
        <w:adjustRightInd/>
        <w:snapToGrid/>
        <w:spacing w:line="580" w:lineRule="exact"/>
        <w:ind w:left="0" w:leftChars="0" w:firstLine="5219" w:firstLineChars="1631"/>
        <w:jc w:val="both"/>
        <w:textAlignment w:val="auto"/>
        <w:rPr>
          <w:rStyle w:val="12"/>
          <w:rFonts w:hint="eastAsia" w:ascii="仿宋" w:hAnsi="仿宋" w:eastAsia="仿宋" w:cs="仿宋"/>
          <w:color w:val="auto"/>
          <w:sz w:val="32"/>
          <w:szCs w:val="32"/>
        </w:rPr>
      </w:pPr>
      <w:r>
        <w:rPr>
          <w:rStyle w:val="12"/>
          <w:rFonts w:hint="eastAsia" w:ascii="仿宋" w:hAnsi="仿宋" w:eastAsia="仿宋" w:cs="仿宋"/>
          <w:color w:val="auto"/>
          <w:sz w:val="32"/>
          <w:szCs w:val="32"/>
        </w:rPr>
        <w:t>20</w:t>
      </w:r>
      <w:r>
        <w:rPr>
          <w:rStyle w:val="12"/>
          <w:rFonts w:hint="eastAsia" w:ascii="仿宋" w:hAnsi="仿宋" w:eastAsia="仿宋" w:cs="仿宋"/>
          <w:color w:val="auto"/>
          <w:sz w:val="32"/>
          <w:szCs w:val="32"/>
          <w:lang w:val="en-US" w:eastAsia="zh-CN"/>
        </w:rPr>
        <w:t>24</w:t>
      </w:r>
      <w:r>
        <w:rPr>
          <w:rStyle w:val="12"/>
          <w:rFonts w:hint="eastAsia" w:ascii="仿宋" w:hAnsi="仿宋" w:eastAsia="仿宋" w:cs="仿宋"/>
          <w:color w:val="auto"/>
          <w:sz w:val="32"/>
          <w:szCs w:val="32"/>
        </w:rPr>
        <w:t>年</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月</w:t>
      </w:r>
      <w:r>
        <w:rPr>
          <w:rStyle w:val="12"/>
          <w:rFonts w:hint="eastAsia" w:ascii="仿宋" w:hAnsi="仿宋" w:eastAsia="仿宋" w:cs="仿宋"/>
          <w:color w:val="auto"/>
          <w:sz w:val="32"/>
          <w:szCs w:val="32"/>
          <w:lang w:val="en-US" w:eastAsia="zh-CN"/>
        </w:rPr>
        <w:t>30</w:t>
      </w:r>
      <w:r>
        <w:rPr>
          <w:rStyle w:val="12"/>
          <w:rFonts w:hint="eastAsia" w:ascii="仿宋" w:hAnsi="仿宋" w:eastAsia="仿宋" w:cs="仿宋"/>
          <w:color w:val="auto"/>
          <w:sz w:val="32"/>
          <w:szCs w:val="32"/>
        </w:rPr>
        <w:t>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bookmarkEnd w:id="2"/>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210" w:rightChars="100" w:firstLine="0" w:firstLineChars="0"/>
        <w:textAlignment w:val="auto"/>
        <w:rPr>
          <w:rFonts w:hint="eastAsia" w:ascii="仿宋_GB2312" w:hAnsi="Calibri" w:eastAsia="仿宋_GB2312" w:cs="Times New Roman"/>
          <w:sz w:val="28"/>
          <w:szCs w:val="28"/>
          <w:lang w:eastAsia="zh-CN"/>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210" w:rightChars="100" w:firstLine="0" w:firstLineChars="0"/>
        <w:textAlignment w:val="auto"/>
        <w:rPr>
          <w:rFonts w:hint="eastAsia" w:ascii="仿宋_GB2312" w:hAnsi="Calibri" w:eastAsia="仿宋_GB2312" w:cs="Times New Roman"/>
          <w:sz w:val="28"/>
          <w:szCs w:val="28"/>
          <w:lang w:eastAsia="zh-CN"/>
        </w:rPr>
      </w:pP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210" w:rightChars="100" w:firstLine="0" w:firstLineChars="0"/>
        <w:textAlignment w:val="auto"/>
        <w:rPr>
          <w:rFonts w:hint="eastAsia" w:ascii="仿宋_GB2312" w:hAnsi="Calibri" w:eastAsia="仿宋_GB2312" w:cs="Times New Roman"/>
          <w:sz w:val="28"/>
          <w:szCs w:val="28"/>
          <w:lang w:eastAsia="zh-CN"/>
        </w:rPr>
      </w:pPr>
    </w:p>
    <w:p>
      <w:pPr>
        <w:pStyle w:val="2"/>
        <w:keepNext w:val="0"/>
        <w:keepLines w:val="0"/>
        <w:pageBreakBefore w:val="0"/>
        <w:widowControl/>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 w:hAnsi="仿宋" w:eastAsia="仿宋" w:cs="仿宋"/>
          <w:sz w:val="28"/>
          <w:szCs w:val="28"/>
        </w:rPr>
      </w:pPr>
      <w:r>
        <w:rPr>
          <w:rFonts w:hint="eastAsia" w:ascii="仿宋" w:hAnsi="仿宋" w:eastAsia="仿宋" w:cs="仿宋"/>
          <w:sz w:val="28"/>
          <w:szCs w:val="28"/>
          <w:lang w:eastAsia="zh-CN"/>
        </w:rPr>
        <w:t>抄送：自治区发展改革委、财政厅、市场监管局，满洲里海关、</w:t>
      </w:r>
      <w:r>
        <w:rPr>
          <w:rFonts w:hint="eastAsia" w:ascii="仿宋" w:hAnsi="仿宋" w:eastAsia="仿宋" w:cs="仿宋"/>
          <w:spacing w:val="-6"/>
          <w:sz w:val="28"/>
          <w:szCs w:val="28"/>
          <w:lang w:eastAsia="zh-CN"/>
        </w:rPr>
        <w:t>内蒙古出入境边防检查总站、国家外汇管理局内蒙古分局、内蒙古</w:t>
      </w:r>
      <w:r>
        <w:rPr>
          <w:rFonts w:hint="eastAsia" w:ascii="仿宋" w:hAnsi="仿宋" w:eastAsia="仿宋" w:cs="仿宋"/>
          <w:spacing w:val="-11"/>
          <w:sz w:val="28"/>
          <w:szCs w:val="28"/>
          <w:lang w:eastAsia="zh-CN"/>
        </w:rPr>
        <w:t>税务局。</w:t>
      </w:r>
      <w:bookmarkStart w:id="0" w:name="印章"/>
      <w:bookmarkEnd w:id="0"/>
      <w:r>
        <w:rPr>
          <w:rFonts w:hint="eastAsia" w:ascii="仿宋" w:hAnsi="仿宋" w:eastAsia="仿宋" w:cs="仿宋"/>
          <w:sz w:val="28"/>
          <w:szCs w:val="28"/>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840865" cy="534670"/>
                                  <wp:effectExtent l="0" t="0" r="6985" b="17780"/>
                                  <wp:docPr id="2" name="图片 6" descr="C:\Users\Administrator\Desktop\nzz19.jpgnzz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nzz19.jpgnzz19"/>
                                          <pic:cNvPicPr>
                                            <a:picLocks noChangeAspect="1"/>
                                          </pic:cNvPicPr>
                                        </pic:nvPicPr>
                                        <pic:blipFill>
                                          <a:blip r:embed="rId7"/>
                                          <a:stretch>
                                            <a:fillRect/>
                                          </a:stretch>
                                        </pic:blipFill>
                                        <pic:spPr>
                                          <a:xfrm>
                                            <a:off x="0" y="0"/>
                                            <a:ext cx="1840865" cy="53467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840865" cy="534670"/>
                            <wp:effectExtent l="0" t="0" r="6985" b="17780"/>
                            <wp:docPr id="2" name="图片 6" descr="C:\Users\Administrator\Desktop\nzz19.jpgnzz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nzz19.jpgnzz19"/>
                                    <pic:cNvPicPr>
                                      <a:picLocks noChangeAspect="1"/>
                                    </pic:cNvPicPr>
                                  </pic:nvPicPr>
                                  <pic:blipFill>
                                    <a:blip r:embed="rId7"/>
                                    <a:stretch>
                                      <a:fillRect/>
                                    </a:stretch>
                                  </pic:blipFill>
                                  <pic:spPr>
                                    <a:xfrm>
                                      <a:off x="0" y="0"/>
                                      <a:ext cx="1840865" cy="534670"/>
                                    </a:xfrm>
                                    <a:prstGeom prst="rect">
                                      <a:avLst/>
                                    </a:prstGeom>
                                    <a:noFill/>
                                    <a:ln>
                                      <a:noFill/>
                                    </a:ln>
                                  </pic:spPr>
                                </pic:pic>
                              </a:graphicData>
                            </a:graphic>
                          </wp:inline>
                        </w:drawing>
                      </w:r>
                    </w:p>
                  </w:txbxContent>
                </v:textbox>
              </v:shape>
            </w:pict>
          </mc:Fallback>
        </mc:AlternateContent>
      </w:r>
    </w:p>
    <w:sectPr>
      <w:headerReference r:id="rId3" w:type="firs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BB8959"/>
    <w:rsid w:val="0001242F"/>
    <w:rsid w:val="000251BC"/>
    <w:rsid w:val="00057363"/>
    <w:rsid w:val="001B7709"/>
    <w:rsid w:val="002F7097"/>
    <w:rsid w:val="00302982"/>
    <w:rsid w:val="00323128"/>
    <w:rsid w:val="00337358"/>
    <w:rsid w:val="00351DB4"/>
    <w:rsid w:val="00405DDC"/>
    <w:rsid w:val="00444154"/>
    <w:rsid w:val="004647F1"/>
    <w:rsid w:val="00483E09"/>
    <w:rsid w:val="004B2561"/>
    <w:rsid w:val="006048D6"/>
    <w:rsid w:val="006114C2"/>
    <w:rsid w:val="00737E0F"/>
    <w:rsid w:val="00755D27"/>
    <w:rsid w:val="007C0234"/>
    <w:rsid w:val="00825CE1"/>
    <w:rsid w:val="008408A0"/>
    <w:rsid w:val="00861E84"/>
    <w:rsid w:val="008E482C"/>
    <w:rsid w:val="00A074EA"/>
    <w:rsid w:val="00A42916"/>
    <w:rsid w:val="00AC3BB4"/>
    <w:rsid w:val="00AF39DF"/>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5B14C08"/>
    <w:rsid w:val="13DC9890"/>
    <w:rsid w:val="1BF4474B"/>
    <w:rsid w:val="1D653B4E"/>
    <w:rsid w:val="1F9F0DDA"/>
    <w:rsid w:val="210C29E7"/>
    <w:rsid w:val="217D23BA"/>
    <w:rsid w:val="27355263"/>
    <w:rsid w:val="2790302D"/>
    <w:rsid w:val="27E04077"/>
    <w:rsid w:val="29255FCE"/>
    <w:rsid w:val="2CEF8100"/>
    <w:rsid w:val="2F7F715B"/>
    <w:rsid w:val="2FED5C18"/>
    <w:rsid w:val="31B44045"/>
    <w:rsid w:val="331441FF"/>
    <w:rsid w:val="33FF8BE2"/>
    <w:rsid w:val="36193767"/>
    <w:rsid w:val="3A1F6681"/>
    <w:rsid w:val="3DB76E89"/>
    <w:rsid w:val="3E8003A9"/>
    <w:rsid w:val="410905BE"/>
    <w:rsid w:val="43CE25A7"/>
    <w:rsid w:val="43E71FB1"/>
    <w:rsid w:val="4C5C110B"/>
    <w:rsid w:val="4E2D2E7A"/>
    <w:rsid w:val="4FD33F1F"/>
    <w:rsid w:val="4FD787FF"/>
    <w:rsid w:val="4FFA0F5C"/>
    <w:rsid w:val="52E8071D"/>
    <w:rsid w:val="539F4A0B"/>
    <w:rsid w:val="54B916A9"/>
    <w:rsid w:val="5A0C2798"/>
    <w:rsid w:val="5BFEFD07"/>
    <w:rsid w:val="5FC47C57"/>
    <w:rsid w:val="604307FB"/>
    <w:rsid w:val="612A5090"/>
    <w:rsid w:val="643B385E"/>
    <w:rsid w:val="664043E7"/>
    <w:rsid w:val="67C742AE"/>
    <w:rsid w:val="68C13303"/>
    <w:rsid w:val="68C13D1E"/>
    <w:rsid w:val="69AA7AA3"/>
    <w:rsid w:val="6ADE316A"/>
    <w:rsid w:val="6EFF5B6F"/>
    <w:rsid w:val="6F4F1E4C"/>
    <w:rsid w:val="71104646"/>
    <w:rsid w:val="73C14EDD"/>
    <w:rsid w:val="744B23C7"/>
    <w:rsid w:val="75DFDB82"/>
    <w:rsid w:val="76167F2F"/>
    <w:rsid w:val="76240541"/>
    <w:rsid w:val="77FB569A"/>
    <w:rsid w:val="7883653B"/>
    <w:rsid w:val="788A40D3"/>
    <w:rsid w:val="78EB474A"/>
    <w:rsid w:val="7AF7043B"/>
    <w:rsid w:val="7B5F20C6"/>
    <w:rsid w:val="7B7EEE90"/>
    <w:rsid w:val="7BD9697A"/>
    <w:rsid w:val="7C7734A3"/>
    <w:rsid w:val="7D1850A2"/>
    <w:rsid w:val="7D7E9F82"/>
    <w:rsid w:val="7DFE36DD"/>
    <w:rsid w:val="7DFE5D73"/>
    <w:rsid w:val="7F3B8F34"/>
    <w:rsid w:val="7FB7AB7E"/>
    <w:rsid w:val="7FDDEF09"/>
    <w:rsid w:val="7FF69738"/>
    <w:rsid w:val="7FFF461F"/>
    <w:rsid w:val="8A5FBEA8"/>
    <w:rsid w:val="ADBEB98B"/>
    <w:rsid w:val="AE9DD7E3"/>
    <w:rsid w:val="B7FFB4A9"/>
    <w:rsid w:val="B9E9412D"/>
    <w:rsid w:val="BF5BEE6E"/>
    <w:rsid w:val="BFFE3FEA"/>
    <w:rsid w:val="C7FD57F4"/>
    <w:rsid w:val="D7BB8959"/>
    <w:rsid w:val="DBFF5DF4"/>
    <w:rsid w:val="DC3FE576"/>
    <w:rsid w:val="DCEE09A6"/>
    <w:rsid w:val="DD5E3314"/>
    <w:rsid w:val="DF4EFACB"/>
    <w:rsid w:val="E9EF10AF"/>
    <w:rsid w:val="EB9E62CB"/>
    <w:rsid w:val="ED957645"/>
    <w:rsid w:val="EDD56C83"/>
    <w:rsid w:val="EEEE7C20"/>
    <w:rsid w:val="EEFBD6B5"/>
    <w:rsid w:val="EFFE51A9"/>
    <w:rsid w:val="EFFEC8B3"/>
    <w:rsid w:val="F5DF6A73"/>
    <w:rsid w:val="F7BA2E79"/>
    <w:rsid w:val="F9FAB05C"/>
    <w:rsid w:val="FABE7C54"/>
    <w:rsid w:val="FBFDDBAE"/>
    <w:rsid w:val="FDBBE642"/>
    <w:rsid w:val="FDEFC9D7"/>
    <w:rsid w:val="FDFA3946"/>
    <w:rsid w:val="FEDED019"/>
    <w:rsid w:val="FF5D6560"/>
    <w:rsid w:val="FFA74533"/>
    <w:rsid w:val="FFDE760D"/>
    <w:rsid w:val="FFFD4E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customStyle="1" w:styleId="2">
    <w:name w:val="正文首行缩进 21"/>
    <w:basedOn w:val="1"/>
    <w:qFormat/>
    <w:uiPriority w:val="0"/>
    <w:pPr>
      <w:ind w:left="420" w:leftChars="200" w:firstLine="420" w:firstLineChars="200"/>
    </w:pPr>
    <w:rPr>
      <w:rFonts w:ascii="Calibri" w:hAnsi="Calibri" w:eastAsia="宋体" w:cs="Times New Roman"/>
      <w:szCs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 w:type="character" w:customStyle="1" w:styleId="12">
    <w:name w:val="text"/>
    <w:basedOn w:val="7"/>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2021-12-13T10:21:00Z</dcterms:created>
  <dc:creator>王蕾:打印</dc:creator>
  <cp:lastModifiedBy>哈斯高娃</cp:lastModifiedBy>
  <dcterms:modified xsi:type="dcterms:W3CDTF">2024-02-05T02:35:23Z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