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内蒙古自治区人民政府关于《阿拉善盟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国土空间总体规划（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—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2035年）》的批复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阿拉善盟行政公署：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你盟《关于〈阿拉善盟国土空间总体规划（2021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2035年）的请示》（阿署发〔2023〕38号）收悉。现批复如下：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原则同意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《阿拉善盟国土空间总体规划（2021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2035年）》（以下简称《规划》）。《规划》是阿拉善盟空间发展的指南、可持续发展的空间蓝图，是各类开发保</w:t>
      </w:r>
      <w:r>
        <w:rPr>
          <w:rFonts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  <w:t>护建设活动的基本依据，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shd w:val="clear" w:color="auto" w:fill="FFFFFF"/>
          <w:lang w:eastAsia="zh-CN"/>
        </w:rPr>
        <w:t>要</w:t>
      </w:r>
      <w:r>
        <w:rPr>
          <w:rFonts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  <w:t>认真组织实施。《规划》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  <w:shd w:val="clear" w:color="auto" w:fill="FFFFFF"/>
        </w:rPr>
        <w:t>实施要坚持以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习近平新时代中国特色社会主义思想为指导，全面贯彻落实党的二十大精神，深入贯彻习近平总书记对内蒙古的重要指示精神，认真落实自治区党委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政府各项决策部署，完整、准确、全面贯彻新发展理念，坚持以人民为中心，统筹发展和安全，促进人与自然和谐共生，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eastAsia="zh-CN"/>
        </w:rPr>
        <w:t>工作主线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着力建设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国家载人航天基地与军民融合产业示范区、大型风电光伏能源和战略资源基地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将阿拉善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盟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建设成为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自治区西部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重要节点城市。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6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二、筑牢安全发展的空间基础。到2035年，阿拉善盟耕地保有量不低于94.7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770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永久基本农田保护面积不低于44.7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673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万亩；生态保护红线面积不低于15.20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45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万平方千米；城镇开发边界扩展倍数控制在基于2020年城镇建设用地规模的1.2898倍以内；用水总量不超过自治区下达指标；基本草原面积不低于11000.00万亩。明确自然灾害风险重点防控区域，划定洪涝等风险控制线，落实战略性矿产资源、历史文化保护等安全保障空间，全面锚固高质量发展的空间底线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三、构建支撑新发展格局的国土空间体系。深入实施区域协调发展战略、区域重大战略、主体功能区战略、新型城镇化战略、乡村振兴战略，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促进形成主体功能明显、优势互补、高质量发展的国土空间开发保护新格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局。深度融入共建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一带一路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和中蒙俄经济走廊建设，协同推进黄河流域生态保护和高质量发展，坚持以生态优先、绿色发展为导向，服务构建新发展格局。锚定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闯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新路、进中游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目标，对照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七个作模范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要求，为完成好习近平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总书记交给内蒙古的五大任务和全方位建设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模范自治区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两件大事做出阿拉善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盟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贡献。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四、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系统优化国土空间开发保护格局。发挥区域比较优势，优化主体功能定位，细化主体功能区划分，完善差别化支持政策。发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挥农牧资源优势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，提升农牧区产能，优化沿黄干流平原农牧区和阿拉善草原畜牧区空间布局，严格保护耕地和永久基本农田，保障粮食和重要农畜产品安全供给。筑牢贺兰山生态安全屏障，强化基本草原保护，加强腾格里沙漠、巴丹吉林沙漠、乌兰布和沙漠荒漠化综合治理，协同推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三北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防护林体系建设，实施生态保护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修复重大工程，打好河西走廊—塔克拉玛干沙漠边缘阻击战，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shd w:val="clear" w:color="auto" w:fill="FFFFFF"/>
          <w:lang w:eastAsia="zh-CN"/>
        </w:rPr>
        <w:t>全面提升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  <w:shd w:val="clear" w:color="auto" w:fill="FFFFFF"/>
        </w:rPr>
        <w:t>生态系统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服务功能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发挥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巴彦浩特城镇节点作用，完善基础设施和公共服务设施，促进城镇空间高质量发展。优化产业空间布局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引导各类开发区功能复合和节约集约用地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聚焦优势领域，推动新能源发展，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为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加快建设大型风光电基地，加强传统能源与新能源综合开发利用提供空间保障。加快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推进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策克、乌力吉边境口岸及城镇建设，提升边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境地区经济社会发展水平和守边固边能力。优化农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村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牧区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嘎查村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布局，完善城乡生活圈，提升城乡人居环境品质。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强化文化遗产与自然遗产整体保护和系统活化利用，健全文化遗产与自然遗产空间保护机制，构建文化资源、自然资源、景观资源整体保护的空间体系，把生态效益更好转化为社会效益、经济效益，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建设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shd w:val="clear" w:color="auto" w:fill="FFFFFF"/>
        </w:rPr>
        <w:t>中国西部特色沙漠旅游目的地。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五、维护规划严肃性权威性。《规划》是对阿拉善盟国土空间作出的全局安排，是盟域国土空间保护、开发、利用、修复的政策和总纲，必须严格执行，任何部门和个人不得随意修改、违规变更。按照定期体检和五年一评估的要求，健全各级各类国土空间规划实施监测评估预警机制，将规划评估结果作为规划实施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监督考核的重要依据。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  <w:lang w:eastAsia="zh-CN"/>
        </w:rPr>
        <w:t>在符合“三区三线”管控要求的前提下，严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格管理《规划》重点项目。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六、做好规划实施保障。阿拉善盟行政公署要加强组织领导，明确责任分工，健全工作机制，完善配套政策措施。做好《规划》印发和公开，强化社会监督。组织完成各级国土空间总体规划、详细规划、相关专项规划编制工作，加快形成统一的国土空间规划体系。强化对水利、交通、能源、农业、信息、市政等基础设施以及公共服务设施、军事设施、生态环境保护、文物保护、林业草原等专项规划的指导约束，在国土空间规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一张图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上协调解决矛盾问题，合理优化空间布局。建立健全盟、旗国土空间规划委员会制度，发挥对国土空间规划编制实施管理的统筹协调作用。按照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统一底图、统一标准、统一规划、统一平台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的要求，完善国土空间规划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一张图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系统和国土空间基础信息平台，建设国土空间规划实施监测网络，提高空间治理数字化水平。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坚决贯彻党中央、国务院关于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多规合一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改革的决策部署，不在国土空间规划体系之外另设其他空间规划。《规划》实施中的重大事项要及时请示报告。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日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（此件公开发布）</w:t>
      </w:r>
    </w:p>
    <w:bookmarkEnd w:id="0"/>
    <w:p>
      <w:pPr>
        <w:pStyle w:val="8"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9" w:leftChars="133" w:right="210" w:rightChars="100" w:hanging="840" w:hangingChars="3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hAnsi="宋体" w:eastAsia="仿宋_GB2312" w:cs="Arial"/>
          <w:spacing w:val="-6"/>
          <w:kern w:val="0"/>
          <w:sz w:val="28"/>
        </w:rPr>
        <w:t>各盟行政公署、市人民政府，自治区各委、办、</w:t>
      </w:r>
      <w:r>
        <w:rPr>
          <w:rFonts w:hint="eastAsia" w:ascii="仿宋_GB2312" w:hAnsi="宋体" w:eastAsia="仿宋_GB2312" w:cs="Arial"/>
          <w:kern w:val="0"/>
          <w:sz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 w:rightChars="100" w:firstLine="1120" w:firstLineChars="4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hAnsi="宋体" w:eastAsia="仿宋_GB2312" w:cs="Arial"/>
          <w:kern w:val="0"/>
          <w:sz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7" w:leftChars="532" w:right="210" w:rightChars="10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Arial"/>
          <w:spacing w:val="6"/>
          <w:kern w:val="0"/>
          <w:sz w:val="28"/>
        </w:rPr>
        <w:t>自治区人大常委会办公厅、政协办公厅，自治区监委，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自治区高级人民法院，检察院。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utch801 Rm BT">
    <w:altName w:val="Times New Roman"/>
    <w:panose1 w:val="00000000000000000000"/>
    <w:charset w:val="00"/>
    <w:family w:val="roman"/>
    <w:pitch w:val="default"/>
    <w:sig w:usb0="00000087" w:usb1="00000000" w:usb2="00000000" w:usb3="00000000" w:csb0="0000001B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64"/>
    <w:rsid w:val="00006A83"/>
    <w:rsid w:val="000119B4"/>
    <w:rsid w:val="0001542C"/>
    <w:rsid w:val="00017FC4"/>
    <w:rsid w:val="00020831"/>
    <w:rsid w:val="00023051"/>
    <w:rsid w:val="00025DF9"/>
    <w:rsid w:val="00026D99"/>
    <w:rsid w:val="0002793F"/>
    <w:rsid w:val="00037BFB"/>
    <w:rsid w:val="00042AE4"/>
    <w:rsid w:val="00044767"/>
    <w:rsid w:val="00057363"/>
    <w:rsid w:val="00062DE4"/>
    <w:rsid w:val="00065748"/>
    <w:rsid w:val="000756CC"/>
    <w:rsid w:val="000917EC"/>
    <w:rsid w:val="000A1DF9"/>
    <w:rsid w:val="000C1FC7"/>
    <w:rsid w:val="000E45FF"/>
    <w:rsid w:val="000E5201"/>
    <w:rsid w:val="0010119D"/>
    <w:rsid w:val="00101DCE"/>
    <w:rsid w:val="0011241A"/>
    <w:rsid w:val="00113FA4"/>
    <w:rsid w:val="00116389"/>
    <w:rsid w:val="001451EB"/>
    <w:rsid w:val="00170CEC"/>
    <w:rsid w:val="001728DC"/>
    <w:rsid w:val="00185AAA"/>
    <w:rsid w:val="001966EB"/>
    <w:rsid w:val="001A49E0"/>
    <w:rsid w:val="001B7709"/>
    <w:rsid w:val="001E607B"/>
    <w:rsid w:val="001F0B8F"/>
    <w:rsid w:val="001F4315"/>
    <w:rsid w:val="00202D47"/>
    <w:rsid w:val="002122A6"/>
    <w:rsid w:val="00216622"/>
    <w:rsid w:val="00227AF1"/>
    <w:rsid w:val="00241ABF"/>
    <w:rsid w:val="0027298F"/>
    <w:rsid w:val="00292545"/>
    <w:rsid w:val="0029536B"/>
    <w:rsid w:val="002A76EB"/>
    <w:rsid w:val="002B5754"/>
    <w:rsid w:val="002C4D72"/>
    <w:rsid w:val="002D61FE"/>
    <w:rsid w:val="002D70CB"/>
    <w:rsid w:val="002E6193"/>
    <w:rsid w:val="00300337"/>
    <w:rsid w:val="00302982"/>
    <w:rsid w:val="003042AC"/>
    <w:rsid w:val="003106FD"/>
    <w:rsid w:val="00314A0C"/>
    <w:rsid w:val="00323128"/>
    <w:rsid w:val="00327BEB"/>
    <w:rsid w:val="00337358"/>
    <w:rsid w:val="00340AE5"/>
    <w:rsid w:val="00351DB4"/>
    <w:rsid w:val="00365804"/>
    <w:rsid w:val="00367BB3"/>
    <w:rsid w:val="00376CC4"/>
    <w:rsid w:val="00387037"/>
    <w:rsid w:val="003A1521"/>
    <w:rsid w:val="003A7713"/>
    <w:rsid w:val="003D006E"/>
    <w:rsid w:val="003D6C02"/>
    <w:rsid w:val="003F4232"/>
    <w:rsid w:val="00441AF6"/>
    <w:rsid w:val="00444154"/>
    <w:rsid w:val="004627C5"/>
    <w:rsid w:val="0047007E"/>
    <w:rsid w:val="00476048"/>
    <w:rsid w:val="004809E9"/>
    <w:rsid w:val="00483E09"/>
    <w:rsid w:val="00487418"/>
    <w:rsid w:val="004B2561"/>
    <w:rsid w:val="004E0E84"/>
    <w:rsid w:val="004E6033"/>
    <w:rsid w:val="004F00ED"/>
    <w:rsid w:val="005348D5"/>
    <w:rsid w:val="00534E55"/>
    <w:rsid w:val="00545177"/>
    <w:rsid w:val="005572BC"/>
    <w:rsid w:val="0056076A"/>
    <w:rsid w:val="00573FC4"/>
    <w:rsid w:val="00574B87"/>
    <w:rsid w:val="00577C26"/>
    <w:rsid w:val="005856D6"/>
    <w:rsid w:val="0058643F"/>
    <w:rsid w:val="005A2DBF"/>
    <w:rsid w:val="005D7D86"/>
    <w:rsid w:val="005E5B18"/>
    <w:rsid w:val="005E5D4E"/>
    <w:rsid w:val="005E6F8E"/>
    <w:rsid w:val="006048D6"/>
    <w:rsid w:val="00605252"/>
    <w:rsid w:val="00606BCD"/>
    <w:rsid w:val="006114C2"/>
    <w:rsid w:val="00612B64"/>
    <w:rsid w:val="0061718B"/>
    <w:rsid w:val="006210D6"/>
    <w:rsid w:val="006355C7"/>
    <w:rsid w:val="006413B6"/>
    <w:rsid w:val="00662BB5"/>
    <w:rsid w:val="00662E5B"/>
    <w:rsid w:val="006B0F6F"/>
    <w:rsid w:val="006B3F79"/>
    <w:rsid w:val="006C2348"/>
    <w:rsid w:val="006C4F1E"/>
    <w:rsid w:val="006D16D9"/>
    <w:rsid w:val="006D5BCF"/>
    <w:rsid w:val="006E1AF4"/>
    <w:rsid w:val="006F2D68"/>
    <w:rsid w:val="00743E64"/>
    <w:rsid w:val="007440E4"/>
    <w:rsid w:val="007465A1"/>
    <w:rsid w:val="00747AD8"/>
    <w:rsid w:val="0075198D"/>
    <w:rsid w:val="00755D27"/>
    <w:rsid w:val="0077189E"/>
    <w:rsid w:val="0077353B"/>
    <w:rsid w:val="00795AAA"/>
    <w:rsid w:val="007C1AA6"/>
    <w:rsid w:val="007C2FFA"/>
    <w:rsid w:val="007C6222"/>
    <w:rsid w:val="007E080E"/>
    <w:rsid w:val="007F383C"/>
    <w:rsid w:val="008102AC"/>
    <w:rsid w:val="00825CE1"/>
    <w:rsid w:val="0082666D"/>
    <w:rsid w:val="008408A0"/>
    <w:rsid w:val="00861E84"/>
    <w:rsid w:val="00875505"/>
    <w:rsid w:val="0087774D"/>
    <w:rsid w:val="00887AD6"/>
    <w:rsid w:val="008A134D"/>
    <w:rsid w:val="008A5D2C"/>
    <w:rsid w:val="008B2E9E"/>
    <w:rsid w:val="008B347A"/>
    <w:rsid w:val="008B61C4"/>
    <w:rsid w:val="008C116D"/>
    <w:rsid w:val="008C5646"/>
    <w:rsid w:val="008D6235"/>
    <w:rsid w:val="008D6CDB"/>
    <w:rsid w:val="008E482C"/>
    <w:rsid w:val="008E613A"/>
    <w:rsid w:val="008F24BD"/>
    <w:rsid w:val="009009C5"/>
    <w:rsid w:val="00910CB4"/>
    <w:rsid w:val="00913AA1"/>
    <w:rsid w:val="00951F79"/>
    <w:rsid w:val="009570D3"/>
    <w:rsid w:val="00967122"/>
    <w:rsid w:val="009774B6"/>
    <w:rsid w:val="009A4AA0"/>
    <w:rsid w:val="009C6B72"/>
    <w:rsid w:val="009D1EDF"/>
    <w:rsid w:val="009E3B75"/>
    <w:rsid w:val="009F6784"/>
    <w:rsid w:val="009F71CF"/>
    <w:rsid w:val="00A023A2"/>
    <w:rsid w:val="00A0352E"/>
    <w:rsid w:val="00A45E98"/>
    <w:rsid w:val="00A5564B"/>
    <w:rsid w:val="00A872FA"/>
    <w:rsid w:val="00A96FB2"/>
    <w:rsid w:val="00AA24A9"/>
    <w:rsid w:val="00AC3BB4"/>
    <w:rsid w:val="00AD5051"/>
    <w:rsid w:val="00AE3F27"/>
    <w:rsid w:val="00AF1D52"/>
    <w:rsid w:val="00B01634"/>
    <w:rsid w:val="00B23397"/>
    <w:rsid w:val="00B32830"/>
    <w:rsid w:val="00B33ED2"/>
    <w:rsid w:val="00B37BB8"/>
    <w:rsid w:val="00B42DD6"/>
    <w:rsid w:val="00B52F22"/>
    <w:rsid w:val="00B558E6"/>
    <w:rsid w:val="00B77F2A"/>
    <w:rsid w:val="00B8542C"/>
    <w:rsid w:val="00B86A7C"/>
    <w:rsid w:val="00BA4816"/>
    <w:rsid w:val="00BB7815"/>
    <w:rsid w:val="00BE4FE8"/>
    <w:rsid w:val="00C05C86"/>
    <w:rsid w:val="00C2121A"/>
    <w:rsid w:val="00C22A63"/>
    <w:rsid w:val="00C44C37"/>
    <w:rsid w:val="00C56348"/>
    <w:rsid w:val="00C6125F"/>
    <w:rsid w:val="00C61A13"/>
    <w:rsid w:val="00C7710F"/>
    <w:rsid w:val="00C809B3"/>
    <w:rsid w:val="00C83EC4"/>
    <w:rsid w:val="00CB01B7"/>
    <w:rsid w:val="00CB0ADB"/>
    <w:rsid w:val="00CB0B2B"/>
    <w:rsid w:val="00CC1415"/>
    <w:rsid w:val="00CC5C86"/>
    <w:rsid w:val="00CD4699"/>
    <w:rsid w:val="00CD569F"/>
    <w:rsid w:val="00CE02FB"/>
    <w:rsid w:val="00CE6695"/>
    <w:rsid w:val="00CF0448"/>
    <w:rsid w:val="00CF14C5"/>
    <w:rsid w:val="00CF36B1"/>
    <w:rsid w:val="00D0034F"/>
    <w:rsid w:val="00D03C66"/>
    <w:rsid w:val="00D3579F"/>
    <w:rsid w:val="00D47683"/>
    <w:rsid w:val="00D535E1"/>
    <w:rsid w:val="00D63613"/>
    <w:rsid w:val="00D66E1F"/>
    <w:rsid w:val="00D72548"/>
    <w:rsid w:val="00D9438C"/>
    <w:rsid w:val="00DA0F50"/>
    <w:rsid w:val="00DA4936"/>
    <w:rsid w:val="00DA5DDD"/>
    <w:rsid w:val="00DA6AB3"/>
    <w:rsid w:val="00DD4FCD"/>
    <w:rsid w:val="00DD700A"/>
    <w:rsid w:val="00DE0610"/>
    <w:rsid w:val="00DF33E2"/>
    <w:rsid w:val="00DF5C8A"/>
    <w:rsid w:val="00DF62D9"/>
    <w:rsid w:val="00DF7210"/>
    <w:rsid w:val="00DF7B53"/>
    <w:rsid w:val="00E03491"/>
    <w:rsid w:val="00E224E7"/>
    <w:rsid w:val="00E25DC6"/>
    <w:rsid w:val="00E303EC"/>
    <w:rsid w:val="00E44776"/>
    <w:rsid w:val="00E45E15"/>
    <w:rsid w:val="00E618AF"/>
    <w:rsid w:val="00E64011"/>
    <w:rsid w:val="00E7357F"/>
    <w:rsid w:val="00E751C2"/>
    <w:rsid w:val="00E7657B"/>
    <w:rsid w:val="00E8363A"/>
    <w:rsid w:val="00E97A98"/>
    <w:rsid w:val="00EA37A2"/>
    <w:rsid w:val="00ED208D"/>
    <w:rsid w:val="00ED2C4F"/>
    <w:rsid w:val="00ED3C2C"/>
    <w:rsid w:val="00ED3DB9"/>
    <w:rsid w:val="00ED61E0"/>
    <w:rsid w:val="00EF7CE8"/>
    <w:rsid w:val="00F26B5F"/>
    <w:rsid w:val="00F41698"/>
    <w:rsid w:val="00F71128"/>
    <w:rsid w:val="00F83728"/>
    <w:rsid w:val="00F83C2D"/>
    <w:rsid w:val="00F94438"/>
    <w:rsid w:val="00FA337B"/>
    <w:rsid w:val="00FC0278"/>
    <w:rsid w:val="00FD24DD"/>
    <w:rsid w:val="00FD59F8"/>
    <w:rsid w:val="00FE5399"/>
    <w:rsid w:val="04493EAB"/>
    <w:rsid w:val="1BF4474B"/>
    <w:rsid w:val="217D23BA"/>
    <w:rsid w:val="244D6CDB"/>
    <w:rsid w:val="27355263"/>
    <w:rsid w:val="27E04077"/>
    <w:rsid w:val="29255FCE"/>
    <w:rsid w:val="30ED4271"/>
    <w:rsid w:val="36193767"/>
    <w:rsid w:val="39993500"/>
    <w:rsid w:val="3E8003A9"/>
    <w:rsid w:val="43CE25A7"/>
    <w:rsid w:val="4FD33F1F"/>
    <w:rsid w:val="556423E4"/>
    <w:rsid w:val="5E3E8439"/>
    <w:rsid w:val="5FC47C57"/>
    <w:rsid w:val="604307FB"/>
    <w:rsid w:val="612A5090"/>
    <w:rsid w:val="624A4B84"/>
    <w:rsid w:val="67C742AE"/>
    <w:rsid w:val="68C13D1E"/>
    <w:rsid w:val="69AA7AA3"/>
    <w:rsid w:val="6ADE316A"/>
    <w:rsid w:val="715EDEFE"/>
    <w:rsid w:val="716B40C0"/>
    <w:rsid w:val="76167F2F"/>
    <w:rsid w:val="76240541"/>
    <w:rsid w:val="7C7734A3"/>
    <w:rsid w:val="7D1850A2"/>
    <w:rsid w:val="7D383C21"/>
    <w:rsid w:val="9F7E3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pacing w:val="-2"/>
      <w:szCs w:val="24"/>
    </w:rPr>
  </w:style>
  <w:style w:type="paragraph" w:styleId="3">
    <w:name w:val="Body Text"/>
    <w:basedOn w:val="1"/>
    <w:link w:val="16"/>
    <w:uiPriority w:val="0"/>
    <w:pPr>
      <w:spacing w:line="500" w:lineRule="exact"/>
    </w:pPr>
    <w:rPr>
      <w:rFonts w:ascii="Dutch801 Rm BT" w:hAnsi="Dutch801 Rm BT" w:eastAsia="仿宋_GB2312" w:cs="Times New Roman"/>
      <w:sz w:val="32"/>
      <w:szCs w:val="24"/>
    </w:rPr>
  </w:style>
  <w:style w:type="paragraph" w:styleId="4">
    <w:name w:val="Body Text Indent"/>
    <w:basedOn w:val="1"/>
    <w:link w:val="17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Date"/>
    <w:basedOn w:val="1"/>
    <w:next w:val="1"/>
    <w:link w:val="18"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paragraph" w:styleId="9">
    <w:name w:val="Body Text First Indent"/>
    <w:basedOn w:val="3"/>
    <w:link w:val="21"/>
    <w:unhideWhenUsed/>
    <w:uiPriority w:val="99"/>
    <w:pPr>
      <w:spacing w:after="120" w:line="240" w:lineRule="auto"/>
      <w:ind w:firstLine="420" w:firstLineChars="100"/>
    </w:pPr>
    <w:rPr>
      <w:rFonts w:ascii="Calibri" w:hAnsi="Calibri"/>
      <w:sz w:val="21"/>
    </w:rPr>
  </w:style>
  <w:style w:type="paragraph" w:styleId="10">
    <w:name w:val="Body Text First Indent 2"/>
    <w:basedOn w:val="4"/>
    <w:link w:val="22"/>
    <w:qFormat/>
    <w:uiPriority w:val="0"/>
    <w:pPr>
      <w:spacing w:before="120" w:after="0"/>
      <w:ind w:left="0" w:leftChars="0" w:firstLine="420" w:firstLineChars="200"/>
    </w:pPr>
    <w:rPr>
      <w:rFonts w:ascii="Calibri" w:hAnsi="Calibri" w:eastAsia="宋体" w:cs="Times New Roman"/>
      <w:sz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uiPriority w:val="0"/>
  </w:style>
  <w:style w:type="paragraph" w:customStyle="1" w:styleId="15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6">
    <w:name w:val="正文文本 Char"/>
    <w:link w:val="3"/>
    <w:uiPriority w:val="0"/>
    <w:rPr>
      <w:rFonts w:ascii="Dutch801 Rm BT" w:hAnsi="Dutch801 Rm BT" w:eastAsia="仿宋_GB2312" w:cs="Times New Roman"/>
      <w:sz w:val="32"/>
    </w:rPr>
  </w:style>
  <w:style w:type="character" w:customStyle="1" w:styleId="17">
    <w:name w:val="正文文本缩进 Char"/>
    <w:basedOn w:val="13"/>
    <w:link w:val="4"/>
    <w:uiPriority w:val="0"/>
    <w:rPr>
      <w:rFonts w:ascii="Times New Roman" w:hAnsi="Times New Roman" w:eastAsia="宋体" w:cs="Times New Roman"/>
    </w:rPr>
  </w:style>
  <w:style w:type="character" w:customStyle="1" w:styleId="18">
    <w:name w:val="日期 Char"/>
    <w:basedOn w:val="13"/>
    <w:link w:val="5"/>
    <w:uiPriority w:val="0"/>
    <w:rPr>
      <w:rFonts w:ascii="Times New Roman" w:hAnsi="Times New Roman" w:eastAsia="宋体" w:cs="Times New Roman"/>
    </w:rPr>
  </w:style>
  <w:style w:type="character" w:customStyle="1" w:styleId="19">
    <w:name w:val="页脚 Char"/>
    <w:link w:val="6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眉 Char"/>
    <w:link w:val="7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正文首行缩进 Char"/>
    <w:link w:val="9"/>
    <w:uiPriority w:val="99"/>
    <w:rPr>
      <w:rFonts w:ascii="Calibri" w:hAnsi="Calibri" w:eastAsia="宋体" w:cs="Times New Roman"/>
      <w:sz w:val="21"/>
    </w:rPr>
  </w:style>
  <w:style w:type="character" w:customStyle="1" w:styleId="22">
    <w:name w:val="正文首行缩进 2 Char"/>
    <w:basedOn w:val="17"/>
    <w:link w:val="10"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5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dcterms:modified xsi:type="dcterms:W3CDTF">2024-04-03T04:10:19Z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